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71" w:rsidRPr="00F466B7" w:rsidRDefault="00265D71" w:rsidP="00F466B7">
      <w:pPr>
        <w:ind w:left="2124" w:firstLine="708"/>
        <w:rPr>
          <w:rFonts w:ascii="Times New Roman" w:hAnsi="Times New Roman"/>
          <w:b/>
          <w:sz w:val="28"/>
          <w:szCs w:val="28"/>
          <w:lang w:val="en-GB"/>
        </w:rPr>
      </w:pPr>
      <w:r w:rsidRPr="00F466B7">
        <w:rPr>
          <w:rFonts w:ascii="Times New Roman" w:hAnsi="Times New Roman"/>
          <w:b/>
          <w:sz w:val="28"/>
          <w:szCs w:val="28"/>
          <w:lang w:val="en-GB"/>
        </w:rPr>
        <w:t>SUPPLY PROCUREMENT NOTICE</w:t>
      </w:r>
    </w:p>
    <w:p w:rsidR="00265D71" w:rsidRPr="00F466B7" w:rsidRDefault="00265D71" w:rsidP="00F466B7">
      <w:pPr>
        <w:ind w:left="2124" w:firstLine="708"/>
        <w:rPr>
          <w:rFonts w:ascii="Times New Roman" w:hAnsi="Times New Roman"/>
          <w:b/>
          <w:sz w:val="28"/>
          <w:szCs w:val="28"/>
          <w:lang w:val="en-GB"/>
        </w:rPr>
      </w:pPr>
    </w:p>
    <w:p w:rsidR="00265D71" w:rsidRPr="00F466B7" w:rsidRDefault="00265D71" w:rsidP="00F466B7">
      <w:pPr>
        <w:spacing w:afterLines="1"/>
        <w:jc w:val="center"/>
        <w:rPr>
          <w:rFonts w:ascii="Times New Roman" w:hAnsi="Times New Roman"/>
          <w:sz w:val="28"/>
          <w:szCs w:val="28"/>
          <w:lang w:val="en-GB" w:eastAsia="it-IT"/>
        </w:rPr>
      </w:pPr>
      <w:r w:rsidRPr="00F466B7">
        <w:rPr>
          <w:rFonts w:ascii="Times New Roman" w:hAnsi="Times New Roman"/>
          <w:b/>
          <w:sz w:val="28"/>
          <w:szCs w:val="28"/>
          <w:lang w:val="en-US" w:eastAsia="it-IT"/>
        </w:rPr>
        <w:t>Supply of the Equipment for the National Reference Laboratories Directorate in food chain (re-launch)</w:t>
      </w:r>
    </w:p>
    <w:p w:rsidR="00265D71" w:rsidRPr="00F466B7" w:rsidRDefault="00265D71" w:rsidP="00F466B7">
      <w:pPr>
        <w:jc w:val="center"/>
        <w:rPr>
          <w:rFonts w:ascii="Times New Roman" w:hAnsi="Times New Roman"/>
          <w:sz w:val="28"/>
          <w:szCs w:val="28"/>
          <w:lang w:val="en-GB" w:eastAsia="it-IT"/>
        </w:rPr>
      </w:pPr>
      <w:r w:rsidRPr="00F466B7">
        <w:rPr>
          <w:rFonts w:ascii="Times New Roman" w:hAnsi="Times New Roman"/>
          <w:b/>
          <w:sz w:val="28"/>
          <w:szCs w:val="28"/>
          <w:lang w:val="en-US" w:eastAsia="it-IT"/>
        </w:rPr>
        <w:t xml:space="preserve">Location – </w:t>
      </w:r>
      <w:smartTag w:uri="urn:schemas-microsoft-com:office:smarttags" w:element="place">
        <w:smartTag w:uri="urn:schemas-microsoft-com:office:smarttags" w:element="country-region">
          <w:r w:rsidRPr="00F466B7">
            <w:rPr>
              <w:rFonts w:ascii="Times New Roman" w:hAnsi="Times New Roman"/>
              <w:b/>
              <w:sz w:val="28"/>
              <w:szCs w:val="28"/>
              <w:lang w:val="en-US" w:eastAsia="it-IT"/>
            </w:rPr>
            <w:t>Serbia</w:t>
          </w:r>
        </w:smartTag>
      </w:smartTag>
    </w:p>
    <w:p w:rsidR="00265D71" w:rsidRPr="00F466B7" w:rsidRDefault="00265D71" w:rsidP="00F466B7">
      <w:pPr>
        <w:ind w:left="3600"/>
        <w:rPr>
          <w:rFonts w:ascii="Times New Roman" w:hAnsi="Times New Roman"/>
          <w:b/>
          <w:bCs/>
          <w:sz w:val="28"/>
          <w:szCs w:val="28"/>
          <w:lang w:val="en-GB" w:eastAsia="en-GB"/>
        </w:rPr>
      </w:pPr>
      <w:r w:rsidRPr="00F466B7">
        <w:rPr>
          <w:rFonts w:ascii="Times New Roman" w:hAnsi="Times New Roman"/>
          <w:b/>
          <w:bCs/>
          <w:sz w:val="28"/>
          <w:szCs w:val="28"/>
          <w:lang w:val="en-GB" w:eastAsia="en-GB"/>
        </w:rPr>
        <w:t xml:space="preserve">      10SER01/22/12</w:t>
      </w:r>
    </w:p>
    <w:p w:rsidR="00265D71" w:rsidRPr="00F466B7" w:rsidRDefault="00265D71" w:rsidP="00A65FCB">
      <w:pPr>
        <w:ind w:left="3600"/>
        <w:jc w:val="both"/>
        <w:rPr>
          <w:rFonts w:ascii="Times New Roman" w:hAnsi="Times New Roman"/>
          <w:b/>
          <w:sz w:val="22"/>
          <w:szCs w:val="22"/>
          <w:lang w:val="en-US" w:eastAsia="it-IT"/>
        </w:rPr>
      </w:pPr>
    </w:p>
    <w:p w:rsidR="00265D71" w:rsidRPr="00F466B7" w:rsidRDefault="00265D71" w:rsidP="00A96C66">
      <w:pPr>
        <w:ind w:left="709" w:hanging="425"/>
        <w:rPr>
          <w:rFonts w:ascii="Times New Roman" w:hAnsi="Times New Roman"/>
          <w:lang w:val="en-GB" w:eastAsia="it-IT"/>
        </w:rPr>
      </w:pPr>
      <w:r w:rsidRPr="00F466B7">
        <w:rPr>
          <w:rFonts w:ascii="Times New Roman" w:hAnsi="Times New Roman"/>
          <w:b/>
          <w:lang w:val="en-GB" w:eastAsia="it-IT"/>
        </w:rPr>
        <w:t>1.        Publication reference</w:t>
      </w:r>
    </w:p>
    <w:p w:rsidR="00265D71" w:rsidRPr="00F466B7" w:rsidRDefault="00265D71" w:rsidP="00A96C66">
      <w:pPr>
        <w:ind w:left="360" w:right="360"/>
        <w:rPr>
          <w:rFonts w:ascii="Times New Roman" w:hAnsi="Times New Roman"/>
          <w:sz w:val="22"/>
          <w:szCs w:val="22"/>
          <w:lang w:val="en-GB" w:eastAsia="it-IT"/>
        </w:rPr>
      </w:pPr>
      <w:r w:rsidRPr="00F466B7">
        <w:rPr>
          <w:rFonts w:ascii="Times New Roman" w:hAnsi="Times New Roman"/>
          <w:sz w:val="22"/>
          <w:szCs w:val="22"/>
          <w:lang w:val="en-GB" w:eastAsia="it-IT"/>
        </w:rPr>
        <w:t xml:space="preserve">      </w:t>
      </w:r>
      <w:r>
        <w:rPr>
          <w:rFonts w:ascii="Times New Roman" w:hAnsi="Times New Roman"/>
          <w:sz w:val="22"/>
          <w:szCs w:val="22"/>
          <w:lang w:val="en-GB" w:eastAsia="it-IT"/>
        </w:rPr>
        <w:t xml:space="preserve">    </w:t>
      </w:r>
      <w:r w:rsidRPr="00F466B7">
        <w:rPr>
          <w:rFonts w:ascii="Times New Roman" w:hAnsi="Times New Roman"/>
          <w:sz w:val="22"/>
          <w:szCs w:val="22"/>
          <w:lang w:val="en-GB" w:eastAsia="it-IT"/>
        </w:rPr>
        <w:t>EuropeAid/</w:t>
      </w:r>
      <w:r w:rsidRPr="00F466B7">
        <w:rPr>
          <w:rFonts w:ascii="Times New Roman" w:hAnsi="Times New Roman"/>
          <w:sz w:val="22"/>
          <w:szCs w:val="22"/>
          <w:lang w:val="en-GB" w:eastAsia="en-GB"/>
        </w:rPr>
        <w:t>130476/C/SUP/RS</w:t>
      </w:r>
    </w:p>
    <w:p w:rsidR="00265D71" w:rsidRPr="00F466B7" w:rsidRDefault="00265D71" w:rsidP="00A96C66">
      <w:pPr>
        <w:ind w:left="360" w:right="360"/>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lang w:val="en-GB" w:eastAsia="it-IT"/>
        </w:rPr>
      </w:pPr>
      <w:r w:rsidRPr="00F466B7">
        <w:rPr>
          <w:rFonts w:ascii="Times New Roman" w:hAnsi="Times New Roman"/>
          <w:b/>
          <w:lang w:val="en-GB" w:eastAsia="it-IT"/>
        </w:rPr>
        <w:t>2.        Procedure</w:t>
      </w:r>
    </w:p>
    <w:p w:rsidR="00265D71" w:rsidRPr="00F466B7" w:rsidRDefault="00265D71" w:rsidP="00A04E6A">
      <w:pPr>
        <w:spacing w:beforeLines="1" w:afterLines="1"/>
        <w:ind w:left="709"/>
        <w:rPr>
          <w:rFonts w:ascii="Times New Roman" w:hAnsi="Times New Roman"/>
          <w:sz w:val="22"/>
          <w:szCs w:val="22"/>
          <w:lang w:val="en-GB" w:eastAsia="it-IT"/>
        </w:rPr>
      </w:pPr>
      <w:r w:rsidRPr="00F466B7">
        <w:rPr>
          <w:rFonts w:ascii="Times New Roman" w:hAnsi="Times New Roman"/>
          <w:sz w:val="22"/>
          <w:szCs w:val="22"/>
          <w:lang w:val="en-GB" w:eastAsia="it-IT"/>
        </w:rPr>
        <w:t xml:space="preserve">   Open   </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lang w:val="en-GB" w:eastAsia="it-IT"/>
        </w:rPr>
      </w:pPr>
      <w:r w:rsidRPr="00F466B7">
        <w:rPr>
          <w:rFonts w:ascii="Times New Roman" w:hAnsi="Times New Roman"/>
          <w:b/>
          <w:lang w:val="en-GB" w:eastAsia="it-IT"/>
        </w:rPr>
        <w:t>3.        Programme</w:t>
      </w:r>
    </w:p>
    <w:p w:rsidR="00265D71" w:rsidRPr="00F466B7" w:rsidRDefault="00265D71" w:rsidP="00A04E6A">
      <w:pPr>
        <w:spacing w:beforeLines="1" w:afterLines="1"/>
        <w:ind w:left="426" w:firstLine="283"/>
        <w:rPr>
          <w:rFonts w:ascii="Times New Roman" w:hAnsi="Times New Roman"/>
          <w:sz w:val="22"/>
          <w:szCs w:val="22"/>
          <w:lang w:val="en-GB" w:eastAsia="it-IT"/>
        </w:rPr>
      </w:pPr>
      <w:r w:rsidRPr="00F466B7">
        <w:rPr>
          <w:rFonts w:ascii="Times New Roman" w:hAnsi="Times New Roman"/>
          <w:sz w:val="22"/>
          <w:szCs w:val="22"/>
          <w:lang w:val="en-GB" w:eastAsia="it-IT"/>
        </w:rPr>
        <w:t xml:space="preserve">   IPA </w:t>
      </w:r>
    </w:p>
    <w:p w:rsidR="00265D71" w:rsidRPr="00F466B7" w:rsidRDefault="00265D71" w:rsidP="00A04E6A">
      <w:pPr>
        <w:spacing w:beforeLines="1" w:afterLines="1"/>
        <w:ind w:left="426" w:firstLine="283"/>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lang w:val="en-GB" w:eastAsia="it-IT"/>
        </w:rPr>
      </w:pPr>
      <w:r w:rsidRPr="00F466B7">
        <w:rPr>
          <w:rFonts w:ascii="Times New Roman" w:hAnsi="Times New Roman"/>
          <w:b/>
          <w:lang w:val="en-GB" w:eastAsia="it-IT"/>
        </w:rPr>
        <w:t>4.        Financing</w:t>
      </w:r>
    </w:p>
    <w:p w:rsidR="00265D71" w:rsidRPr="00F466B7" w:rsidRDefault="00265D71" w:rsidP="00A04E6A">
      <w:pPr>
        <w:spacing w:beforeLines="1" w:afterLines="1"/>
        <w:ind w:left="426" w:firstLine="283"/>
        <w:rPr>
          <w:rFonts w:ascii="Times New Roman" w:hAnsi="Times New Roman"/>
          <w:sz w:val="22"/>
          <w:szCs w:val="22"/>
          <w:lang w:val="en-US" w:eastAsia="it-IT"/>
        </w:rPr>
      </w:pPr>
      <w:r w:rsidRPr="00F466B7">
        <w:rPr>
          <w:rFonts w:ascii="Times New Roman" w:hAnsi="Times New Roman"/>
          <w:sz w:val="22"/>
          <w:szCs w:val="22"/>
          <w:lang w:val="en-US" w:eastAsia="it-IT"/>
        </w:rPr>
        <w:t xml:space="preserve">   National IPA 2010</w:t>
      </w:r>
    </w:p>
    <w:p w:rsidR="00265D71" w:rsidRPr="00F466B7" w:rsidRDefault="00265D71" w:rsidP="00A04E6A">
      <w:pPr>
        <w:spacing w:beforeLines="1" w:afterLines="1"/>
        <w:ind w:left="426" w:firstLine="283"/>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lang w:val="en-GB" w:eastAsia="it-IT"/>
        </w:rPr>
      </w:pPr>
      <w:r w:rsidRPr="00F466B7">
        <w:rPr>
          <w:rFonts w:ascii="Times New Roman" w:hAnsi="Times New Roman"/>
          <w:b/>
          <w:lang w:val="en-GB" w:eastAsia="it-IT"/>
        </w:rPr>
        <w:t>5.        Contracting authority</w:t>
      </w:r>
    </w:p>
    <w:p w:rsidR="00265D71" w:rsidRPr="00F466B7" w:rsidRDefault="00265D71" w:rsidP="00A04E6A">
      <w:pPr>
        <w:spacing w:beforeLines="1" w:afterLines="1"/>
        <w:ind w:left="709"/>
        <w:rPr>
          <w:rFonts w:ascii="Times New Roman" w:hAnsi="Times New Roman"/>
          <w:sz w:val="22"/>
          <w:szCs w:val="22"/>
          <w:lang w:val="en-US" w:eastAsia="it-IT"/>
        </w:rPr>
      </w:pPr>
      <w:r>
        <w:rPr>
          <w:rFonts w:ascii="Times New Roman" w:hAnsi="Times New Roman"/>
          <w:sz w:val="22"/>
          <w:szCs w:val="22"/>
          <w:lang w:val="en-US" w:eastAsia="it-IT"/>
        </w:rPr>
        <w:t xml:space="preserve">   </w:t>
      </w:r>
      <w:r w:rsidRPr="00F466B7">
        <w:rPr>
          <w:rFonts w:ascii="Times New Roman" w:hAnsi="Times New Roman"/>
          <w:sz w:val="22"/>
          <w:szCs w:val="22"/>
          <w:lang w:val="en-US" w:eastAsia="it-IT"/>
        </w:rPr>
        <w:t xml:space="preserve">The European Union, represented by its Delegation to the </w:t>
      </w:r>
      <w:smartTag w:uri="urn:schemas-microsoft-com:office:smarttags" w:element="PlaceType">
        <w:smartTag w:uri="urn:schemas-microsoft-com:office:smarttags" w:element="place">
          <w:r w:rsidRPr="00F466B7">
            <w:rPr>
              <w:rFonts w:ascii="Times New Roman" w:hAnsi="Times New Roman"/>
              <w:sz w:val="22"/>
              <w:szCs w:val="22"/>
              <w:lang w:val="en-US" w:eastAsia="it-IT"/>
            </w:rPr>
            <w:t>Republic</w:t>
          </w:r>
        </w:smartTag>
        <w:r w:rsidRPr="00F466B7">
          <w:rPr>
            <w:rFonts w:ascii="Times New Roman" w:hAnsi="Times New Roman"/>
            <w:sz w:val="22"/>
            <w:szCs w:val="22"/>
            <w:lang w:val="en-US" w:eastAsia="it-IT"/>
          </w:rPr>
          <w:t xml:space="preserve"> of </w:t>
        </w:r>
        <w:smartTag w:uri="urn:schemas-microsoft-com:office:smarttags" w:element="PlaceName">
          <w:r w:rsidRPr="00F466B7">
            <w:rPr>
              <w:rFonts w:ascii="Times New Roman" w:hAnsi="Times New Roman"/>
              <w:sz w:val="22"/>
              <w:szCs w:val="22"/>
              <w:lang w:val="en-US" w:eastAsia="it-IT"/>
            </w:rPr>
            <w:t>Serbia</w:t>
          </w:r>
        </w:smartTag>
      </w:smartTag>
      <w:r w:rsidRPr="00F466B7">
        <w:rPr>
          <w:rFonts w:ascii="Times New Roman" w:hAnsi="Times New Roman"/>
          <w:sz w:val="22"/>
          <w:szCs w:val="22"/>
          <w:lang w:val="en-US" w:eastAsia="it-IT"/>
        </w:rPr>
        <w:t xml:space="preserve"> </w:t>
      </w:r>
      <w:r w:rsidRPr="00F466B7">
        <w:rPr>
          <w:rFonts w:ascii="Times New Roman" w:hAnsi="Times New Roman"/>
          <w:sz w:val="22"/>
          <w:szCs w:val="22"/>
          <w:lang w:val="en-GB" w:eastAsia="it-IT"/>
        </w:rPr>
        <w:t xml:space="preserve">on behalf of and for </w:t>
      </w:r>
      <w:r>
        <w:rPr>
          <w:rFonts w:ascii="Times New Roman" w:hAnsi="Times New Roman"/>
          <w:sz w:val="22"/>
          <w:szCs w:val="22"/>
          <w:lang w:val="en-GB" w:eastAsia="it-IT"/>
        </w:rPr>
        <w:t xml:space="preserve"> </w:t>
      </w:r>
      <w:r w:rsidRPr="00F466B7">
        <w:rPr>
          <w:rFonts w:ascii="Times New Roman" w:hAnsi="Times New Roman"/>
          <w:sz w:val="22"/>
          <w:szCs w:val="22"/>
          <w:lang w:val="en-GB" w:eastAsia="it-IT"/>
        </w:rPr>
        <w:t>the account of the beneficiary</w:t>
      </w:r>
      <w:r w:rsidRPr="00F466B7">
        <w:rPr>
          <w:rFonts w:ascii="Times New Roman" w:hAnsi="Times New Roman"/>
          <w:sz w:val="22"/>
          <w:szCs w:val="22"/>
          <w:lang w:val="en-US" w:eastAsia="it-IT"/>
        </w:rPr>
        <w:t xml:space="preserve"> country.</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96C66">
      <w:pPr>
        <w:rPr>
          <w:rFonts w:ascii="Times New Roman" w:hAnsi="Times New Roman"/>
          <w:b/>
          <w:sz w:val="22"/>
          <w:szCs w:val="22"/>
          <w:lang w:val="en-GB"/>
        </w:rPr>
      </w:pPr>
    </w:p>
    <w:p w:rsidR="00265D71" w:rsidRDefault="00265D71" w:rsidP="00A96C66">
      <w:pPr>
        <w:rPr>
          <w:rStyle w:val="Strong"/>
          <w:rFonts w:ascii="Times New Roman" w:hAnsi="Times New Roman"/>
          <w:sz w:val="22"/>
          <w:szCs w:val="22"/>
          <w:lang w:val="en-GB"/>
        </w:rPr>
      </w:pPr>
      <w:r w:rsidRPr="00F466B7">
        <w:rPr>
          <w:rFonts w:ascii="Times New Roman" w:hAnsi="Times New Roman"/>
          <w:b/>
          <w:sz w:val="22"/>
          <w:szCs w:val="22"/>
          <w:lang w:val="en-GB"/>
        </w:rPr>
        <w:tab/>
      </w:r>
      <w:r w:rsidRPr="00F466B7">
        <w:rPr>
          <w:rFonts w:ascii="Times New Roman" w:hAnsi="Times New Roman"/>
          <w:b/>
          <w:sz w:val="22"/>
          <w:szCs w:val="22"/>
          <w:lang w:val="en-GB"/>
        </w:rPr>
        <w:tab/>
      </w:r>
      <w:r w:rsidRPr="00F466B7">
        <w:rPr>
          <w:rFonts w:ascii="Times New Roman" w:hAnsi="Times New Roman"/>
          <w:b/>
          <w:sz w:val="22"/>
          <w:szCs w:val="22"/>
          <w:lang w:val="en-GB"/>
        </w:rPr>
        <w:tab/>
      </w:r>
      <w:r w:rsidRPr="00F466B7">
        <w:rPr>
          <w:rFonts w:ascii="Times New Roman" w:hAnsi="Times New Roman"/>
          <w:b/>
          <w:sz w:val="22"/>
          <w:szCs w:val="22"/>
          <w:lang w:val="en-GB"/>
        </w:rPr>
        <w:tab/>
      </w:r>
      <w:r w:rsidRPr="00F466B7">
        <w:rPr>
          <w:rFonts w:ascii="Times New Roman" w:hAnsi="Times New Roman"/>
          <w:b/>
          <w:sz w:val="22"/>
          <w:szCs w:val="22"/>
          <w:lang w:val="en-GB"/>
        </w:rPr>
        <w:tab/>
      </w:r>
      <w:r w:rsidRPr="00F466B7">
        <w:rPr>
          <w:rStyle w:val="Strong"/>
          <w:rFonts w:ascii="Times New Roman" w:hAnsi="Times New Roman"/>
          <w:sz w:val="22"/>
          <w:szCs w:val="22"/>
          <w:lang w:val="en-GB"/>
        </w:rPr>
        <w:t>CONTRACT SPECIFICATIONS</w:t>
      </w:r>
    </w:p>
    <w:p w:rsidR="00265D71" w:rsidRPr="00F466B7" w:rsidRDefault="00265D71" w:rsidP="00A96C66">
      <w:pPr>
        <w:rPr>
          <w:rStyle w:val="Strong"/>
          <w:rFonts w:ascii="Times New Roman" w:hAnsi="Times New Roman"/>
          <w:sz w:val="22"/>
          <w:szCs w:val="22"/>
          <w:lang w:val="en-GB"/>
        </w:rPr>
      </w:pPr>
    </w:p>
    <w:p w:rsidR="00265D71" w:rsidRPr="00F466B7" w:rsidRDefault="00265D71" w:rsidP="00A04E6A">
      <w:pPr>
        <w:spacing w:beforeLines="1" w:afterLines="1"/>
        <w:ind w:left="709" w:hanging="425"/>
        <w:rPr>
          <w:rFonts w:ascii="Times New Roman" w:hAnsi="Times New Roman"/>
          <w:sz w:val="22"/>
          <w:szCs w:val="22"/>
          <w:lang w:val="en-GB" w:eastAsia="it-IT"/>
        </w:rPr>
      </w:pPr>
      <w:r w:rsidRPr="00F466B7">
        <w:rPr>
          <w:rFonts w:ascii="Times New Roman" w:hAnsi="Times New Roman"/>
          <w:b/>
          <w:sz w:val="22"/>
          <w:szCs w:val="22"/>
          <w:lang w:val="en-GB" w:eastAsia="it-IT"/>
        </w:rPr>
        <w:t>6</w:t>
      </w:r>
      <w:r w:rsidRPr="00F6710B">
        <w:rPr>
          <w:rFonts w:ascii="Times New Roman" w:hAnsi="Times New Roman"/>
          <w:b/>
          <w:lang w:val="en-GB" w:eastAsia="it-IT"/>
        </w:rPr>
        <w:t>.       Description of the contract</w:t>
      </w:r>
      <w:r w:rsidRPr="00F466B7">
        <w:rPr>
          <w:rFonts w:ascii="Times New Roman" w:hAnsi="Times New Roman"/>
          <w:b/>
          <w:sz w:val="22"/>
          <w:szCs w:val="22"/>
          <w:lang w:val="en-GB" w:eastAsia="it-IT"/>
        </w:rPr>
        <w:t xml:space="preserve"> </w:t>
      </w:r>
    </w:p>
    <w:p w:rsidR="00265D71" w:rsidRPr="00F466B7" w:rsidRDefault="00265D71" w:rsidP="00165D22">
      <w:pPr>
        <w:ind w:left="708"/>
        <w:jc w:val="both"/>
        <w:rPr>
          <w:rFonts w:ascii="Times New Roman" w:hAnsi="Times New Roman"/>
          <w:sz w:val="22"/>
          <w:szCs w:val="22"/>
          <w:lang w:val="en-US" w:eastAsia="it-IT"/>
        </w:rPr>
      </w:pPr>
    </w:p>
    <w:p w:rsidR="00265D71" w:rsidRPr="00F466B7" w:rsidRDefault="00265D71" w:rsidP="00165D22">
      <w:pPr>
        <w:ind w:left="708"/>
        <w:jc w:val="both"/>
        <w:rPr>
          <w:rFonts w:ascii="Times New Roman" w:hAnsi="Times New Roman"/>
          <w:sz w:val="22"/>
          <w:szCs w:val="22"/>
          <w:lang w:val="en-GB"/>
        </w:rPr>
      </w:pPr>
      <w:r w:rsidRPr="00F466B7">
        <w:rPr>
          <w:rFonts w:ascii="Times New Roman" w:hAnsi="Times New Roman"/>
          <w:sz w:val="22"/>
          <w:szCs w:val="22"/>
          <w:lang w:val="en-US" w:eastAsia="it-IT"/>
        </w:rPr>
        <w:t>Supply (including delivery, installation, after sale service and training) of laboratory equipment and vehicles to the National Reference Laboratories Directorate, of</w:t>
      </w:r>
      <w:r w:rsidRPr="00F466B7">
        <w:rPr>
          <w:rFonts w:ascii="Times New Roman" w:hAnsi="Times New Roman"/>
          <w:sz w:val="22"/>
          <w:szCs w:val="22"/>
          <w:lang w:val="en-GB"/>
        </w:rPr>
        <w:t xml:space="preserve"> the Ministry of Agriculture, Forestry and Water Management in order to improve the technical capacity of the Directorate </w:t>
      </w:r>
      <w:r w:rsidRPr="00F466B7">
        <w:rPr>
          <w:rFonts w:ascii="Times New Roman" w:hAnsi="Times New Roman"/>
          <w:color w:val="000000"/>
          <w:sz w:val="22"/>
          <w:szCs w:val="22"/>
          <w:lang w:val="en-GB"/>
        </w:rPr>
        <w:t>and its national reference laboratories for protection of public, plant and animal health and environment through gradual alignment with the EU standards and requirements.</w:t>
      </w:r>
    </w:p>
    <w:p w:rsidR="00265D71" w:rsidRPr="00F466B7" w:rsidRDefault="00265D71" w:rsidP="00A04E6A">
      <w:pPr>
        <w:spacing w:beforeLines="1" w:afterLines="1"/>
        <w:ind w:left="709"/>
        <w:jc w:val="both"/>
        <w:rPr>
          <w:rFonts w:ascii="Times New Roman" w:hAnsi="Times New Roman"/>
          <w:sz w:val="22"/>
          <w:szCs w:val="22"/>
          <w:lang w:val="en-US" w:eastAsia="it-IT"/>
        </w:rPr>
      </w:pPr>
    </w:p>
    <w:p w:rsidR="00265D71" w:rsidRPr="00F466B7" w:rsidRDefault="00265D71" w:rsidP="00A04E6A">
      <w:pPr>
        <w:spacing w:beforeLines="1" w:afterLines="1"/>
        <w:ind w:left="709"/>
        <w:jc w:val="both"/>
        <w:rPr>
          <w:rFonts w:ascii="Times New Roman" w:hAnsi="Times New Roman"/>
          <w:sz w:val="22"/>
          <w:szCs w:val="22"/>
          <w:lang w:val="en-US" w:eastAsia="it-IT"/>
        </w:rPr>
      </w:pPr>
    </w:p>
    <w:p w:rsidR="00265D71" w:rsidRPr="00F6710B" w:rsidRDefault="00265D71" w:rsidP="00A04E6A">
      <w:pPr>
        <w:spacing w:beforeLines="1" w:afterLines="1"/>
        <w:ind w:left="709" w:hanging="360"/>
        <w:rPr>
          <w:rFonts w:ascii="Times New Roman" w:hAnsi="Times New Roman"/>
          <w:b/>
          <w:lang w:val="en-GB" w:eastAsia="it-IT"/>
        </w:rPr>
      </w:pPr>
      <w:r w:rsidRPr="00F6710B">
        <w:rPr>
          <w:rFonts w:ascii="Times New Roman" w:hAnsi="Times New Roman"/>
          <w:b/>
          <w:lang w:val="en-GB" w:eastAsia="it-IT"/>
        </w:rPr>
        <w:t xml:space="preserve">7.      Number and titles of lots </w:t>
      </w:r>
    </w:p>
    <w:p w:rsidR="00265D71" w:rsidRPr="00F466B7" w:rsidRDefault="00265D71" w:rsidP="00A04E6A">
      <w:pPr>
        <w:spacing w:beforeLines="1" w:afterLines="1"/>
        <w:ind w:left="709" w:hanging="360"/>
        <w:rPr>
          <w:rFonts w:ascii="Times New Roman" w:hAnsi="Times New Roman"/>
          <w:sz w:val="22"/>
          <w:szCs w:val="22"/>
          <w:lang w:val="en-GB" w:eastAsia="it-IT"/>
        </w:rPr>
      </w:pPr>
    </w:p>
    <w:p w:rsidR="00265D71" w:rsidRPr="00F466B7" w:rsidRDefault="00265D71" w:rsidP="00A04E6A">
      <w:pPr>
        <w:spacing w:beforeLines="1" w:afterLines="1"/>
        <w:ind w:left="709"/>
        <w:rPr>
          <w:rFonts w:ascii="Times New Roman" w:hAnsi="Times New Roman"/>
          <w:sz w:val="22"/>
          <w:szCs w:val="22"/>
          <w:lang w:val="en-GB" w:eastAsia="it-IT"/>
        </w:rPr>
      </w:pPr>
      <w:smartTag w:uri="urn:schemas-microsoft-com:office:smarttags" w:element="place">
        <w:r w:rsidRPr="00F466B7">
          <w:rPr>
            <w:rFonts w:ascii="Times New Roman" w:hAnsi="Times New Roman"/>
            <w:sz w:val="22"/>
            <w:szCs w:val="22"/>
            <w:lang w:val="en-US" w:eastAsia="it-IT"/>
          </w:rPr>
          <w:t>Lot</w:t>
        </w:r>
      </w:smartTag>
      <w:r w:rsidRPr="00F466B7">
        <w:rPr>
          <w:rFonts w:ascii="Times New Roman" w:hAnsi="Times New Roman"/>
          <w:sz w:val="22"/>
          <w:szCs w:val="22"/>
          <w:lang w:val="en-US" w:eastAsia="it-IT"/>
        </w:rPr>
        <w:t xml:space="preserve"> nº 1: Analytical Laboratory Equipment</w:t>
      </w:r>
    </w:p>
    <w:p w:rsidR="00265D71" w:rsidRPr="00F466B7" w:rsidRDefault="00265D71" w:rsidP="00A04E6A">
      <w:pPr>
        <w:spacing w:beforeLines="1" w:afterLines="1"/>
        <w:ind w:left="709"/>
        <w:rPr>
          <w:rFonts w:ascii="Times New Roman" w:hAnsi="Times New Roman"/>
          <w:sz w:val="22"/>
          <w:szCs w:val="22"/>
          <w:lang w:val="en-GB" w:eastAsia="it-IT"/>
        </w:rPr>
      </w:pPr>
      <w:smartTag w:uri="urn:schemas-microsoft-com:office:smarttags" w:element="place">
        <w:r w:rsidRPr="00F466B7">
          <w:rPr>
            <w:rFonts w:ascii="Times New Roman" w:hAnsi="Times New Roman"/>
            <w:sz w:val="22"/>
            <w:szCs w:val="22"/>
            <w:lang w:val="en-US" w:eastAsia="it-IT"/>
          </w:rPr>
          <w:t>Lot</w:t>
        </w:r>
      </w:smartTag>
      <w:r w:rsidRPr="00F466B7">
        <w:rPr>
          <w:rFonts w:ascii="Times New Roman" w:hAnsi="Times New Roman"/>
          <w:sz w:val="22"/>
          <w:szCs w:val="22"/>
          <w:lang w:val="en-US" w:eastAsia="it-IT"/>
        </w:rPr>
        <w:t xml:space="preserve"> nº 2: General Laboratory Equipment</w:t>
      </w:r>
    </w:p>
    <w:p w:rsidR="00265D71" w:rsidRPr="00F466B7" w:rsidRDefault="00265D71" w:rsidP="00A04E6A">
      <w:pPr>
        <w:spacing w:beforeLines="1" w:afterLines="1"/>
        <w:ind w:left="709"/>
        <w:rPr>
          <w:rFonts w:ascii="Times New Roman" w:hAnsi="Times New Roman"/>
          <w:sz w:val="22"/>
          <w:szCs w:val="22"/>
          <w:lang w:val="en-US" w:eastAsia="it-IT"/>
        </w:rPr>
      </w:pPr>
      <w:smartTag w:uri="urn:schemas-microsoft-com:office:smarttags" w:element="place">
        <w:r w:rsidRPr="00F466B7">
          <w:rPr>
            <w:rFonts w:ascii="Times New Roman" w:hAnsi="Times New Roman"/>
            <w:sz w:val="22"/>
            <w:szCs w:val="22"/>
            <w:lang w:val="en-US" w:eastAsia="it-IT"/>
          </w:rPr>
          <w:t>Lot</w:t>
        </w:r>
      </w:smartTag>
      <w:r w:rsidRPr="00F466B7">
        <w:rPr>
          <w:rFonts w:ascii="Times New Roman" w:hAnsi="Times New Roman"/>
          <w:sz w:val="22"/>
          <w:szCs w:val="22"/>
          <w:lang w:val="en-US" w:eastAsia="it-IT"/>
        </w:rPr>
        <w:t xml:space="preserve"> nº 3: Phytosanitary, Food and Microbiology Laboratory Equipment</w:t>
      </w:r>
    </w:p>
    <w:p w:rsidR="00265D71" w:rsidRPr="00F466B7" w:rsidRDefault="00265D71" w:rsidP="00A04E6A">
      <w:pPr>
        <w:spacing w:beforeLines="1" w:afterLines="1"/>
        <w:ind w:left="709"/>
        <w:rPr>
          <w:rFonts w:ascii="Times New Roman" w:hAnsi="Times New Roman"/>
          <w:sz w:val="22"/>
          <w:szCs w:val="22"/>
          <w:lang w:val="en-US" w:eastAsia="it-IT"/>
        </w:rPr>
      </w:pPr>
      <w:smartTag w:uri="urn:schemas-microsoft-com:office:smarttags" w:element="place">
        <w:r w:rsidRPr="00F466B7">
          <w:rPr>
            <w:rFonts w:ascii="Times New Roman" w:hAnsi="Times New Roman"/>
            <w:sz w:val="22"/>
            <w:szCs w:val="22"/>
            <w:lang w:val="en-US" w:eastAsia="it-IT"/>
          </w:rPr>
          <w:t>Lot</w:t>
        </w:r>
      </w:smartTag>
      <w:r w:rsidRPr="00F466B7">
        <w:rPr>
          <w:rFonts w:ascii="Times New Roman" w:hAnsi="Times New Roman"/>
          <w:sz w:val="22"/>
          <w:szCs w:val="22"/>
          <w:lang w:val="en-US" w:eastAsia="it-IT"/>
        </w:rPr>
        <w:t xml:space="preserve"> nº 4: Vehicles</w:t>
      </w:r>
    </w:p>
    <w:p w:rsidR="00265D71" w:rsidRPr="00F466B7" w:rsidRDefault="00265D71" w:rsidP="00A04E6A">
      <w:pPr>
        <w:spacing w:beforeLines="1" w:afterLines="1"/>
        <w:ind w:left="709"/>
        <w:rPr>
          <w:rFonts w:ascii="Times New Roman" w:hAnsi="Times New Roman"/>
          <w:sz w:val="22"/>
          <w:szCs w:val="22"/>
          <w:lang w:val="en-US" w:eastAsia="it-IT"/>
        </w:rPr>
      </w:pPr>
      <w:smartTag w:uri="urn:schemas-microsoft-com:office:smarttags" w:element="place">
        <w:r w:rsidRPr="00F466B7">
          <w:rPr>
            <w:rFonts w:ascii="Times New Roman" w:hAnsi="Times New Roman"/>
            <w:sz w:val="22"/>
            <w:szCs w:val="22"/>
            <w:lang w:val="en-US" w:eastAsia="it-IT"/>
          </w:rPr>
          <w:t>Lot</w:t>
        </w:r>
      </w:smartTag>
      <w:r w:rsidRPr="00F466B7">
        <w:rPr>
          <w:rFonts w:ascii="Times New Roman" w:hAnsi="Times New Roman"/>
          <w:sz w:val="22"/>
          <w:szCs w:val="22"/>
          <w:lang w:val="en-US" w:eastAsia="it-IT"/>
        </w:rPr>
        <w:t xml:space="preserve"> n° 5: Liquid Chromatography Equipment</w:t>
      </w:r>
      <w:r w:rsidRPr="00F466B7">
        <w:rPr>
          <w:rFonts w:ascii="Times New Roman" w:hAnsi="Times New Roman"/>
          <w:sz w:val="22"/>
          <w:szCs w:val="22"/>
          <w:lang w:val="en-US" w:eastAsia="it-IT"/>
        </w:rPr>
        <w:tab/>
      </w:r>
    </w:p>
    <w:p w:rsidR="00265D71" w:rsidRPr="00F466B7" w:rsidRDefault="00265D71" w:rsidP="00A04E6A">
      <w:pPr>
        <w:spacing w:beforeLines="1" w:afterLines="1"/>
        <w:ind w:left="709"/>
        <w:rPr>
          <w:rFonts w:ascii="Times New Roman" w:hAnsi="Times New Roman"/>
          <w:sz w:val="22"/>
          <w:szCs w:val="22"/>
          <w:lang w:val="en-US" w:eastAsia="it-IT"/>
        </w:rPr>
      </w:pPr>
    </w:p>
    <w:p w:rsidR="00265D71" w:rsidRPr="00F466B7" w:rsidRDefault="00265D71" w:rsidP="00A04E6A">
      <w:pPr>
        <w:spacing w:beforeLines="1" w:afterLines="1"/>
        <w:ind w:left="709"/>
        <w:rPr>
          <w:rFonts w:ascii="Times New Roman" w:hAnsi="Times New Roman"/>
          <w:sz w:val="22"/>
          <w:szCs w:val="22"/>
          <w:lang w:val="en-US" w:eastAsia="it-IT"/>
        </w:rPr>
      </w:pPr>
    </w:p>
    <w:p w:rsidR="00265D71" w:rsidRPr="00F466B7" w:rsidRDefault="00265D71" w:rsidP="00F6710B">
      <w:pPr>
        <w:spacing w:beforeLines="1" w:afterLines="1"/>
        <w:ind w:left="709"/>
        <w:jc w:val="center"/>
        <w:rPr>
          <w:rStyle w:val="Strong"/>
          <w:rFonts w:ascii="Times New Roman" w:hAnsi="Times New Roman"/>
          <w:sz w:val="22"/>
          <w:szCs w:val="22"/>
          <w:lang w:val="en-GB"/>
        </w:rPr>
      </w:pPr>
      <w:r w:rsidRPr="00F466B7">
        <w:rPr>
          <w:rStyle w:val="Strong"/>
          <w:rFonts w:ascii="Times New Roman" w:hAnsi="Times New Roman"/>
          <w:sz w:val="22"/>
          <w:szCs w:val="22"/>
          <w:lang w:val="en-GB"/>
        </w:rPr>
        <w:t>TERMS OF PARTICIPATION</w:t>
      </w:r>
    </w:p>
    <w:p w:rsidR="00265D71" w:rsidRPr="00F6710B" w:rsidRDefault="00265D71" w:rsidP="00A04E6A">
      <w:pPr>
        <w:spacing w:beforeLines="1" w:afterLines="1"/>
        <w:ind w:left="709"/>
        <w:rPr>
          <w:rStyle w:val="Strong"/>
          <w:rFonts w:ascii="Times New Roman" w:hAnsi="Times New Roman"/>
          <w:lang w:val="en-GB"/>
        </w:rPr>
      </w:pPr>
    </w:p>
    <w:p w:rsidR="00265D71" w:rsidRPr="00F6710B" w:rsidRDefault="00265D71" w:rsidP="00A04E6A">
      <w:pPr>
        <w:spacing w:beforeLines="1" w:afterLines="1"/>
        <w:ind w:left="709" w:hanging="360"/>
        <w:rPr>
          <w:rFonts w:ascii="Times New Roman" w:hAnsi="Times New Roman"/>
          <w:b/>
          <w:lang w:val="en-GB" w:eastAsia="it-IT"/>
        </w:rPr>
      </w:pPr>
      <w:r w:rsidRPr="00F6710B">
        <w:rPr>
          <w:rFonts w:ascii="Times New Roman" w:hAnsi="Times New Roman"/>
          <w:b/>
          <w:lang w:val="en-GB" w:eastAsia="it-IT"/>
        </w:rPr>
        <w:t xml:space="preserve">8.     Eligibility and rules of origin </w:t>
      </w:r>
    </w:p>
    <w:p w:rsidR="00265D71" w:rsidRPr="00F466B7" w:rsidRDefault="00265D71" w:rsidP="00A04E6A">
      <w:pPr>
        <w:spacing w:beforeLines="1" w:afterLines="1"/>
        <w:ind w:left="709" w:hanging="360"/>
        <w:rPr>
          <w:rFonts w:ascii="Times New Roman" w:hAnsi="Times New Roman"/>
          <w:sz w:val="22"/>
          <w:szCs w:val="22"/>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paragraph 22 below).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Default="00265D71" w:rsidP="00A04E6A">
      <w:pPr>
        <w:spacing w:beforeLines="1" w:afterLines="1"/>
        <w:ind w:left="709" w:hanging="425"/>
        <w:rPr>
          <w:rFonts w:ascii="Times New Roman" w:hAnsi="Times New Roman"/>
          <w:b/>
          <w:lang w:val="en-GB" w:eastAsia="it-IT"/>
        </w:rPr>
      </w:pPr>
      <w:r>
        <w:rPr>
          <w:rFonts w:ascii="Times New Roman" w:hAnsi="Times New Roman"/>
          <w:b/>
          <w:lang w:val="en-GB" w:eastAsia="it-IT"/>
        </w:rPr>
        <w:t>9.    </w:t>
      </w:r>
      <w:r w:rsidRPr="00F6710B">
        <w:rPr>
          <w:rFonts w:ascii="Times New Roman" w:hAnsi="Times New Roman"/>
          <w:b/>
          <w:lang w:val="en-GB" w:eastAsia="it-IT"/>
        </w:rPr>
        <w:t>Grounds for exclusion</w:t>
      </w:r>
    </w:p>
    <w:p w:rsidR="00265D71" w:rsidRPr="00F6710B" w:rsidRDefault="00265D71" w:rsidP="00A04E6A">
      <w:pPr>
        <w:spacing w:beforeLines="1" w:afterLines="1"/>
        <w:ind w:left="709" w:hanging="425"/>
        <w:rPr>
          <w:rFonts w:ascii="Times New Roman" w:hAnsi="Times New Roman"/>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Tenderers must submit a signed declaration, included in the Tender Form for a Supply Contract, to the effect that they are not in any of the situations listed in point 2.3.3 of the Practical Guide to contracts procedures for EC external actions.</w:t>
      </w: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Default="00265D71" w:rsidP="00A04E6A">
      <w:pPr>
        <w:spacing w:beforeLines="1" w:afterLines="1"/>
        <w:ind w:left="709" w:hanging="425"/>
        <w:rPr>
          <w:rFonts w:ascii="Times New Roman" w:hAnsi="Times New Roman"/>
          <w:b/>
          <w:lang w:val="en-GB" w:eastAsia="it-IT"/>
        </w:rPr>
      </w:pPr>
      <w:r w:rsidRPr="00F6710B">
        <w:rPr>
          <w:rFonts w:ascii="Times New Roman" w:hAnsi="Times New Roman"/>
          <w:b/>
          <w:lang w:val="en-GB" w:eastAsia="it-IT"/>
        </w:rPr>
        <w:t>10.   Number of tenders</w:t>
      </w:r>
    </w:p>
    <w:p w:rsidR="00265D71" w:rsidRPr="00F6710B" w:rsidRDefault="00265D71" w:rsidP="00A04E6A">
      <w:pPr>
        <w:spacing w:beforeLines="1" w:afterLines="1"/>
        <w:ind w:left="709" w:hanging="425"/>
        <w:rPr>
          <w:rFonts w:ascii="Times New Roman" w:hAnsi="Times New Roman"/>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Tenderers may submit only one tender per lot. Tenders for parts of a lot will not be considered. Any tenderer may state in its tender that it would offer a discount in the event that its tender is accepted for more than one lot. Tenderers may not submit a tender for a variant solution in addition to their tender for the supplies required in the tender dossier.</w:t>
      </w:r>
    </w:p>
    <w:p w:rsidR="00265D71" w:rsidRPr="00F466B7" w:rsidRDefault="00265D71" w:rsidP="00A04E6A">
      <w:pPr>
        <w:spacing w:beforeLines="1" w:afterLines="1"/>
        <w:rPr>
          <w:rFonts w:ascii="Times New Roman" w:hAnsi="Times New Roman"/>
          <w:b/>
          <w:sz w:val="22"/>
          <w:szCs w:val="22"/>
          <w:lang w:val="en-GB" w:eastAsia="it-IT"/>
        </w:rPr>
      </w:pPr>
    </w:p>
    <w:p w:rsidR="00265D71" w:rsidRPr="00F466B7" w:rsidRDefault="00265D71" w:rsidP="00A04E6A">
      <w:pPr>
        <w:spacing w:beforeLines="1" w:afterLines="1"/>
        <w:ind w:left="709" w:hanging="425"/>
        <w:rPr>
          <w:rFonts w:ascii="Times New Roman" w:hAnsi="Times New Roman"/>
          <w:b/>
          <w:sz w:val="22"/>
          <w:szCs w:val="22"/>
          <w:lang w:val="en-GB" w:eastAsia="it-IT"/>
        </w:rPr>
      </w:pPr>
    </w:p>
    <w:p w:rsidR="00265D71" w:rsidRDefault="00265D71" w:rsidP="00A04E6A">
      <w:pPr>
        <w:spacing w:beforeLines="1" w:afterLines="1"/>
        <w:ind w:left="709" w:hanging="425"/>
        <w:rPr>
          <w:rFonts w:ascii="Times New Roman" w:hAnsi="Times New Roman"/>
          <w:b/>
          <w:lang w:val="en-GB" w:eastAsia="it-IT"/>
        </w:rPr>
      </w:pPr>
      <w:r w:rsidRPr="00F6710B">
        <w:rPr>
          <w:rFonts w:ascii="Times New Roman" w:hAnsi="Times New Roman"/>
          <w:b/>
          <w:lang w:val="en-GB" w:eastAsia="it-IT"/>
        </w:rPr>
        <w:t>11.   Tender guarantee</w:t>
      </w:r>
    </w:p>
    <w:p w:rsidR="00265D71" w:rsidRPr="00F6710B" w:rsidRDefault="00265D71" w:rsidP="00A04E6A">
      <w:pPr>
        <w:spacing w:beforeLines="1" w:afterLines="1"/>
        <w:ind w:left="709" w:hanging="425"/>
        <w:rPr>
          <w:rFonts w:ascii="Times New Roman" w:hAnsi="Times New Roman"/>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Tenderers must provide a tender guarantee </w:t>
      </w:r>
      <w:r w:rsidRPr="00F466B7">
        <w:rPr>
          <w:rFonts w:ascii="Times New Roman" w:hAnsi="Times New Roman"/>
          <w:b/>
          <w:sz w:val="22"/>
          <w:szCs w:val="22"/>
          <w:lang w:val="en-GB" w:eastAsia="it-IT"/>
        </w:rPr>
        <w:t>of EUR 6.000 for Lot n.1, EUR 20.000 for Lot n. 2, EUR 15.000 for Lot n. 3, EUR 2.000 for Lot n. 4,</w:t>
      </w:r>
      <w:r w:rsidRPr="00F466B7">
        <w:rPr>
          <w:rFonts w:ascii="Times New Roman" w:hAnsi="Times New Roman"/>
          <w:sz w:val="22"/>
          <w:szCs w:val="22"/>
          <w:lang w:val="en-GB" w:eastAsia="it-IT"/>
        </w:rPr>
        <w:t xml:space="preserve"> </w:t>
      </w:r>
      <w:r w:rsidRPr="00F466B7">
        <w:rPr>
          <w:rFonts w:ascii="Times New Roman" w:hAnsi="Times New Roman"/>
          <w:b/>
          <w:sz w:val="22"/>
          <w:szCs w:val="22"/>
          <w:lang w:val="en-GB" w:eastAsia="it-IT"/>
        </w:rPr>
        <w:t xml:space="preserve">EUR 4.000 for </w:t>
      </w:r>
      <w:smartTag w:uri="urn:schemas-microsoft-com:office:smarttags" w:element="place">
        <w:r w:rsidRPr="00F466B7">
          <w:rPr>
            <w:rFonts w:ascii="Times New Roman" w:hAnsi="Times New Roman"/>
            <w:b/>
            <w:sz w:val="22"/>
            <w:szCs w:val="22"/>
            <w:lang w:val="en-GB" w:eastAsia="it-IT"/>
          </w:rPr>
          <w:t>Lot</w:t>
        </w:r>
      </w:smartTag>
      <w:r w:rsidRPr="00F466B7">
        <w:rPr>
          <w:rFonts w:ascii="Times New Roman" w:hAnsi="Times New Roman"/>
          <w:b/>
          <w:sz w:val="22"/>
          <w:szCs w:val="22"/>
          <w:lang w:val="en-GB" w:eastAsia="it-IT"/>
        </w:rPr>
        <w:t xml:space="preserve"> n. 5, </w:t>
      </w:r>
      <w:r w:rsidRPr="00F466B7">
        <w:rPr>
          <w:rFonts w:ascii="Times New Roman" w:hAnsi="Times New Roman"/>
          <w:sz w:val="22"/>
          <w:szCs w:val="22"/>
          <w:lang w:val="en-GB" w:eastAsia="it-IT"/>
        </w:rPr>
        <w:t>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Default="00265D71" w:rsidP="00A04E6A">
      <w:pPr>
        <w:spacing w:beforeLines="1" w:afterLines="1"/>
        <w:ind w:left="709" w:hanging="425"/>
        <w:rPr>
          <w:rFonts w:ascii="Times New Roman" w:hAnsi="Times New Roman"/>
          <w:b/>
          <w:lang w:val="en-GB" w:eastAsia="it-IT"/>
        </w:rPr>
      </w:pPr>
      <w:r w:rsidRPr="00F6710B">
        <w:rPr>
          <w:rFonts w:ascii="Times New Roman" w:hAnsi="Times New Roman"/>
          <w:b/>
          <w:lang w:val="en-GB" w:eastAsia="it-IT"/>
        </w:rPr>
        <w:t>12.    Performance guarantee</w:t>
      </w:r>
    </w:p>
    <w:p w:rsidR="00265D71" w:rsidRPr="00F6710B" w:rsidRDefault="00265D71" w:rsidP="00A04E6A">
      <w:pPr>
        <w:spacing w:beforeLines="1" w:afterLines="1"/>
        <w:ind w:left="709" w:hanging="425"/>
        <w:rPr>
          <w:rFonts w:ascii="Times New Roman" w:hAnsi="Times New Roman"/>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The successful tenderer will be asked to provide a performance guarantee of </w:t>
      </w:r>
      <w:r w:rsidRPr="00F466B7">
        <w:rPr>
          <w:rFonts w:ascii="Times New Roman" w:hAnsi="Times New Roman"/>
          <w:b/>
          <w:sz w:val="22"/>
          <w:szCs w:val="22"/>
          <w:lang w:val="en-GB" w:eastAsia="it-IT"/>
        </w:rPr>
        <w:t>10%</w:t>
      </w:r>
      <w:r w:rsidRPr="00F466B7">
        <w:rPr>
          <w:rFonts w:ascii="Times New Roman" w:hAnsi="Times New Roman"/>
          <w:sz w:val="22"/>
          <w:szCs w:val="22"/>
          <w:lang w:val="en-GB" w:eastAsia="it-IT"/>
        </w:rPr>
        <w:t xml:space="preserve">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Pr="00F6710B" w:rsidRDefault="00265D71" w:rsidP="00A04E6A">
      <w:pPr>
        <w:spacing w:beforeLines="1" w:afterLines="1"/>
        <w:ind w:left="709" w:hanging="425"/>
        <w:rPr>
          <w:rFonts w:ascii="Times New Roman" w:hAnsi="Times New Roman"/>
          <w:b/>
          <w:lang w:val="en-GB" w:eastAsia="it-IT"/>
        </w:rPr>
      </w:pPr>
      <w:r w:rsidRPr="00F6710B">
        <w:rPr>
          <w:rFonts w:ascii="Times New Roman" w:hAnsi="Times New Roman"/>
          <w:b/>
          <w:lang w:val="en-GB" w:eastAsia="it-IT"/>
        </w:rPr>
        <w:t>13.    Information meeting and/or site visit</w:t>
      </w:r>
    </w:p>
    <w:p w:rsidR="00265D71" w:rsidRPr="00F466B7" w:rsidRDefault="00265D71" w:rsidP="00A04E6A">
      <w:pPr>
        <w:spacing w:beforeLines="1" w:afterLines="1"/>
        <w:ind w:left="709" w:hanging="425"/>
        <w:rPr>
          <w:rFonts w:ascii="Times New Roman" w:hAnsi="Times New Roman"/>
          <w:sz w:val="22"/>
          <w:szCs w:val="22"/>
          <w:lang w:val="en-GB" w:eastAsia="it-IT"/>
        </w:rPr>
      </w:pPr>
    </w:p>
    <w:p w:rsidR="00265D71" w:rsidRPr="00F466B7" w:rsidRDefault="00265D71" w:rsidP="00A04E6A">
      <w:pPr>
        <w:spacing w:beforeLines="1" w:afterLines="1"/>
        <w:ind w:left="709"/>
        <w:rPr>
          <w:rFonts w:ascii="Times New Roman" w:hAnsi="Times New Roman"/>
          <w:sz w:val="22"/>
          <w:szCs w:val="22"/>
          <w:lang w:val="en-GB" w:eastAsia="it-IT"/>
        </w:rPr>
      </w:pPr>
      <w:r w:rsidRPr="00F466B7">
        <w:rPr>
          <w:rFonts w:ascii="Times New Roman" w:hAnsi="Times New Roman"/>
          <w:sz w:val="22"/>
          <w:szCs w:val="22"/>
          <w:lang w:val="en-GB" w:eastAsia="it-IT"/>
        </w:rPr>
        <w:t>An information meeting and site visit is planned and will be fixed in the Instructions to Tenderers.</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6710B" w:rsidRDefault="00265D71" w:rsidP="00A04E6A">
      <w:pPr>
        <w:spacing w:beforeLines="1" w:afterLines="1"/>
        <w:ind w:left="709" w:hanging="425"/>
        <w:rPr>
          <w:rFonts w:ascii="Times New Roman" w:hAnsi="Times New Roman"/>
          <w:b/>
          <w:lang w:val="en-GB" w:eastAsia="it-IT"/>
        </w:rPr>
      </w:pPr>
      <w:r w:rsidRPr="00F6710B">
        <w:rPr>
          <w:rFonts w:ascii="Times New Roman" w:hAnsi="Times New Roman"/>
          <w:b/>
          <w:lang w:val="en-GB" w:eastAsia="it-IT"/>
        </w:rPr>
        <w:t>14.    Tender validity</w:t>
      </w:r>
    </w:p>
    <w:p w:rsidR="00265D71" w:rsidRPr="00F466B7" w:rsidRDefault="00265D71" w:rsidP="00A04E6A">
      <w:pPr>
        <w:spacing w:beforeLines="1" w:afterLines="1"/>
        <w:ind w:left="709" w:hanging="425"/>
        <w:rPr>
          <w:rFonts w:ascii="Times New Roman" w:hAnsi="Times New Roman"/>
          <w:sz w:val="22"/>
          <w:szCs w:val="22"/>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Tenders must remain valid for a period of 90 days after the deadline for submission of tenders.</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Default="00265D71" w:rsidP="00A04E6A">
      <w:pPr>
        <w:spacing w:beforeLines="1" w:afterLines="1"/>
        <w:rPr>
          <w:rStyle w:val="Strong"/>
          <w:rFonts w:ascii="Times New Roman" w:hAnsi="Times New Roman"/>
          <w:sz w:val="22"/>
          <w:szCs w:val="22"/>
          <w:lang w:val="en-GB"/>
        </w:rPr>
      </w:pPr>
      <w:r w:rsidRPr="00F466B7">
        <w:rPr>
          <w:rFonts w:ascii="Times New Roman" w:hAnsi="Times New Roman"/>
          <w:sz w:val="22"/>
          <w:szCs w:val="22"/>
          <w:lang w:val="en-GB" w:eastAsia="it-IT"/>
        </w:rPr>
        <w:t xml:space="preserve">      </w:t>
      </w:r>
      <w:r w:rsidRPr="00F466B7">
        <w:rPr>
          <w:rStyle w:val="Strong"/>
          <w:rFonts w:ascii="Times New Roman" w:hAnsi="Times New Roman"/>
          <w:sz w:val="22"/>
          <w:szCs w:val="22"/>
          <w:lang w:val="en-GB"/>
        </w:rPr>
        <w:t>15.    Period of implementation of tasks</w:t>
      </w:r>
    </w:p>
    <w:p w:rsidR="00265D71" w:rsidRPr="00F466B7" w:rsidRDefault="00265D71" w:rsidP="00A04E6A">
      <w:pPr>
        <w:spacing w:beforeLines="1" w:afterLines="1"/>
        <w:rPr>
          <w:rStyle w:val="Strong"/>
          <w:rFonts w:ascii="Times New Roman" w:hAnsi="Times New Roman"/>
          <w:sz w:val="22"/>
          <w:szCs w:val="22"/>
          <w:lang w:val="en-GB"/>
        </w:rPr>
      </w:pPr>
    </w:p>
    <w:p w:rsidR="00265D71" w:rsidRPr="00F466B7" w:rsidRDefault="00265D71" w:rsidP="00A04E6A">
      <w:pPr>
        <w:spacing w:beforeLines="1" w:afterLines="1"/>
        <w:ind w:left="700"/>
        <w:rPr>
          <w:rStyle w:val="Strong"/>
          <w:rFonts w:ascii="Times New Roman" w:hAnsi="Times New Roman"/>
          <w:sz w:val="22"/>
          <w:szCs w:val="22"/>
          <w:lang w:val="en-GB"/>
        </w:rPr>
      </w:pPr>
      <w:r w:rsidRPr="00F466B7">
        <w:rPr>
          <w:rStyle w:val="Strong"/>
          <w:rFonts w:ascii="Times New Roman" w:hAnsi="Times New Roman"/>
          <w:b w:val="0"/>
          <w:sz w:val="22"/>
          <w:szCs w:val="22"/>
          <w:lang w:val="en-GB"/>
        </w:rPr>
        <w:t xml:space="preserve">180 days from the date of issuance of the Commencement Order </w:t>
      </w:r>
    </w:p>
    <w:p w:rsidR="00265D71" w:rsidRPr="00F466B7" w:rsidRDefault="00265D71" w:rsidP="00A04E6A">
      <w:pPr>
        <w:spacing w:beforeLines="1" w:afterLines="1"/>
        <w:ind w:left="700"/>
        <w:rPr>
          <w:rStyle w:val="Strong"/>
          <w:rFonts w:ascii="Times New Roman" w:hAnsi="Times New Roman"/>
          <w:sz w:val="22"/>
          <w:szCs w:val="22"/>
          <w:lang w:val="en-GB"/>
        </w:rPr>
      </w:pPr>
    </w:p>
    <w:p w:rsidR="00265D71" w:rsidRPr="00F466B7" w:rsidRDefault="00265D71" w:rsidP="00A04E6A">
      <w:pPr>
        <w:spacing w:beforeLines="1" w:afterLines="1"/>
        <w:ind w:left="700"/>
        <w:rPr>
          <w:rStyle w:val="Strong"/>
          <w:rFonts w:ascii="Times New Roman" w:hAnsi="Times New Roman"/>
          <w:sz w:val="22"/>
          <w:szCs w:val="22"/>
          <w:lang w:val="en-GB"/>
        </w:rPr>
      </w:pPr>
      <w:r w:rsidRPr="00F466B7">
        <w:rPr>
          <w:rStyle w:val="Strong"/>
          <w:rFonts w:ascii="Times New Roman" w:hAnsi="Times New Roman"/>
          <w:b w:val="0"/>
          <w:sz w:val="22"/>
          <w:szCs w:val="22"/>
          <w:lang w:val="en-GB"/>
        </w:rPr>
        <w:tab/>
      </w:r>
      <w:r w:rsidRPr="00F466B7">
        <w:rPr>
          <w:rStyle w:val="Strong"/>
          <w:rFonts w:ascii="Times New Roman" w:hAnsi="Times New Roman"/>
          <w:b w:val="0"/>
          <w:sz w:val="22"/>
          <w:szCs w:val="22"/>
          <w:lang w:val="en-GB"/>
        </w:rPr>
        <w:tab/>
      </w:r>
      <w:r w:rsidRPr="00F466B7">
        <w:rPr>
          <w:rStyle w:val="Strong"/>
          <w:rFonts w:ascii="Times New Roman" w:hAnsi="Times New Roman"/>
          <w:b w:val="0"/>
          <w:sz w:val="22"/>
          <w:szCs w:val="22"/>
          <w:lang w:val="en-GB"/>
        </w:rPr>
        <w:tab/>
      </w:r>
      <w:r w:rsidRPr="00F466B7">
        <w:rPr>
          <w:rStyle w:val="Strong"/>
          <w:rFonts w:ascii="Times New Roman" w:hAnsi="Times New Roman"/>
          <w:b w:val="0"/>
          <w:sz w:val="22"/>
          <w:szCs w:val="22"/>
          <w:lang w:val="en-GB"/>
        </w:rPr>
        <w:tab/>
      </w:r>
      <w:r w:rsidRPr="00F466B7">
        <w:rPr>
          <w:rStyle w:val="Strong"/>
          <w:rFonts w:ascii="Times New Roman" w:hAnsi="Times New Roman"/>
          <w:sz w:val="22"/>
          <w:szCs w:val="22"/>
          <w:lang w:val="en-GB"/>
        </w:rPr>
        <w:t>SELECTION AND AWARD CRITERIA</w:t>
      </w:r>
    </w:p>
    <w:p w:rsidR="00265D71" w:rsidRPr="00F466B7" w:rsidRDefault="00265D71" w:rsidP="00A04E6A">
      <w:pPr>
        <w:spacing w:beforeLines="1" w:afterLines="1"/>
        <w:ind w:left="700"/>
        <w:rPr>
          <w:rStyle w:val="Strong"/>
          <w:rFonts w:ascii="Times New Roman" w:hAnsi="Times New Roman"/>
          <w:sz w:val="22"/>
          <w:szCs w:val="22"/>
          <w:lang w:val="en-GB"/>
        </w:rPr>
      </w:pPr>
    </w:p>
    <w:p w:rsidR="00265D71" w:rsidRPr="00F466B7" w:rsidRDefault="00265D71" w:rsidP="00A04E6A">
      <w:pPr>
        <w:spacing w:beforeLines="1" w:afterLines="1"/>
        <w:rPr>
          <w:rStyle w:val="Strong"/>
          <w:rFonts w:ascii="Times New Roman" w:hAnsi="Times New Roman"/>
          <w:sz w:val="22"/>
          <w:szCs w:val="22"/>
          <w:lang w:val="en-GB"/>
        </w:rPr>
      </w:pPr>
      <w:r w:rsidRPr="00F466B7">
        <w:rPr>
          <w:rStyle w:val="Strong"/>
          <w:rFonts w:ascii="Times New Roman" w:hAnsi="Times New Roman"/>
          <w:sz w:val="22"/>
          <w:szCs w:val="22"/>
          <w:lang w:val="en-GB"/>
        </w:rPr>
        <w:t xml:space="preserve">     16.    Selection criteria</w:t>
      </w:r>
    </w:p>
    <w:p w:rsidR="00265D71" w:rsidRPr="00F466B7" w:rsidRDefault="00265D71" w:rsidP="00A04E6A">
      <w:pPr>
        <w:spacing w:beforeLines="1" w:afterLines="1"/>
        <w:ind w:left="708"/>
        <w:rPr>
          <w:rFonts w:ascii="Times New Roman" w:hAnsi="Times New Roman"/>
          <w:b/>
          <w:sz w:val="22"/>
          <w:szCs w:val="22"/>
          <w:lang w:val="en-GB" w:eastAsia="it-IT"/>
        </w:rPr>
      </w:pPr>
      <w:r w:rsidRPr="00F466B7">
        <w:rPr>
          <w:rFonts w:ascii="Times New Roman" w:hAnsi="Times New Roman"/>
          <w:sz w:val="22"/>
          <w:szCs w:val="22"/>
          <w:lang w:val="en-GB"/>
        </w:rPr>
        <w:t>The following selection criteria will be applied to tenderers. In the case of tenders submitted by a consortium, these selection criteria will be applied to the consortium as a whole:</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FE4081">
      <w:pPr>
        <w:pStyle w:val="blockquote"/>
        <w:spacing w:before="2" w:after="2"/>
        <w:ind w:left="708"/>
        <w:jc w:val="both"/>
        <w:rPr>
          <w:rFonts w:ascii="Times New Roman" w:hAnsi="Times New Roman"/>
          <w:sz w:val="22"/>
          <w:szCs w:val="22"/>
          <w:lang w:val="en-GB"/>
        </w:rPr>
      </w:pPr>
      <w:r w:rsidRPr="00F466B7">
        <w:rPr>
          <w:rFonts w:ascii="Times New Roman" w:hAnsi="Times New Roman"/>
          <w:b/>
          <w:sz w:val="22"/>
          <w:szCs w:val="22"/>
          <w:lang w:val="en-GB"/>
        </w:rPr>
        <w:t>1) Economic and financial capacity of tenderer</w:t>
      </w:r>
      <w:r w:rsidRPr="00F466B7">
        <w:rPr>
          <w:rFonts w:ascii="Times New Roman" w:hAnsi="Times New Roman"/>
          <w:i/>
          <w:sz w:val="22"/>
          <w:szCs w:val="22"/>
          <w:lang w:val="en-GB"/>
        </w:rPr>
        <w:t xml:space="preserve"> (</w:t>
      </w:r>
      <w:r w:rsidRPr="00F466B7">
        <w:rPr>
          <w:rFonts w:ascii="Times New Roman" w:hAnsi="Times New Roman"/>
          <w:sz w:val="22"/>
          <w:szCs w:val="22"/>
          <w:lang w:val="en-GB"/>
        </w:rPr>
        <w:t>based on i.a. item 3 of the Tender Form for a Supply Contract)</w:t>
      </w:r>
      <w:r w:rsidRPr="00F466B7">
        <w:rPr>
          <w:rFonts w:ascii="Times New Roman" w:hAnsi="Times New Roman"/>
          <w:color w:val="000000"/>
          <w:sz w:val="22"/>
          <w:szCs w:val="22"/>
          <w:lang w:val="en-GB"/>
        </w:rPr>
        <w:t xml:space="preserve"> In case of tenderer being a public body, equivalent information should be provided.</w:t>
      </w:r>
    </w:p>
    <w:p w:rsidR="00265D71" w:rsidRPr="00F466B7" w:rsidRDefault="00265D71" w:rsidP="00FE4081">
      <w:pPr>
        <w:pStyle w:val="blockquote"/>
        <w:spacing w:before="2" w:after="2"/>
        <w:ind w:left="708" w:right="357"/>
        <w:jc w:val="both"/>
        <w:rPr>
          <w:rFonts w:ascii="Times New Roman" w:hAnsi="Times New Roman"/>
          <w:color w:val="000000"/>
          <w:sz w:val="22"/>
          <w:szCs w:val="22"/>
          <w:lang w:val="en-GB"/>
        </w:rPr>
      </w:pPr>
      <w:r w:rsidRPr="00F466B7">
        <w:rPr>
          <w:rFonts w:ascii="Times New Roman" w:hAnsi="Times New Roman"/>
          <w:sz w:val="22"/>
          <w:szCs w:val="22"/>
          <w:lang w:val="en-US"/>
        </w:rPr>
        <w:t xml:space="preserve">·     </w:t>
      </w:r>
      <w:r w:rsidRPr="00F466B7">
        <w:rPr>
          <w:rFonts w:ascii="Times New Roman" w:hAnsi="Times New Roman"/>
          <w:sz w:val="22"/>
          <w:szCs w:val="22"/>
          <w:lang w:val="en-GB"/>
        </w:rPr>
        <w:t xml:space="preserve">For </w:t>
      </w:r>
      <w:smartTag w:uri="urn:schemas-microsoft-com:office:smarttags" w:element="place">
        <w:r w:rsidRPr="00F466B7">
          <w:rPr>
            <w:rFonts w:ascii="Times New Roman" w:hAnsi="Times New Roman"/>
            <w:sz w:val="22"/>
            <w:szCs w:val="22"/>
            <w:lang w:val="en-GB"/>
          </w:rPr>
          <w:t>Lot</w:t>
        </w:r>
      </w:smartTag>
      <w:r w:rsidRPr="00F466B7">
        <w:rPr>
          <w:rFonts w:ascii="Times New Roman" w:hAnsi="Times New Roman"/>
          <w:sz w:val="22"/>
          <w:szCs w:val="22"/>
          <w:lang w:val="en-GB"/>
        </w:rPr>
        <w:t xml:space="preserve"> 1, the average annual turnover in the last three financial years (2007, 2008 and 2009) of the candidate must be </w:t>
      </w:r>
      <w:r w:rsidRPr="00F466B7">
        <w:rPr>
          <w:rFonts w:ascii="Times New Roman" w:hAnsi="Times New Roman"/>
          <w:color w:val="000000"/>
          <w:sz w:val="22"/>
          <w:szCs w:val="22"/>
          <w:lang w:val="en-GB"/>
        </w:rPr>
        <w:t>at least two times of the submitted financial proposal.</w:t>
      </w:r>
    </w:p>
    <w:p w:rsidR="00265D71" w:rsidRPr="00F466B7" w:rsidRDefault="00265D71" w:rsidP="00FE4081">
      <w:pPr>
        <w:pStyle w:val="blockquote"/>
        <w:spacing w:before="2" w:after="2"/>
        <w:ind w:left="708" w:right="357"/>
        <w:jc w:val="both"/>
        <w:rPr>
          <w:rFonts w:ascii="Times New Roman" w:hAnsi="Times New Roman"/>
          <w:sz w:val="22"/>
          <w:szCs w:val="22"/>
          <w:lang w:val="en-GB"/>
        </w:rPr>
      </w:pPr>
    </w:p>
    <w:p w:rsidR="00265D71" w:rsidRPr="00F466B7" w:rsidRDefault="00265D71" w:rsidP="00EA7DF0">
      <w:pPr>
        <w:pStyle w:val="blockquote"/>
        <w:spacing w:before="2" w:after="2"/>
        <w:ind w:left="708" w:right="357"/>
        <w:jc w:val="both"/>
        <w:rPr>
          <w:rFonts w:ascii="Times New Roman" w:hAnsi="Times New Roman"/>
          <w:sz w:val="22"/>
          <w:szCs w:val="22"/>
          <w:lang w:val="en-GB"/>
        </w:rPr>
      </w:pPr>
      <w:r w:rsidRPr="00F466B7">
        <w:rPr>
          <w:rFonts w:ascii="Times New Roman" w:hAnsi="Times New Roman"/>
          <w:sz w:val="22"/>
          <w:szCs w:val="22"/>
          <w:lang w:val="en-US"/>
        </w:rPr>
        <w:t xml:space="preserve">·     </w:t>
      </w:r>
      <w:r w:rsidRPr="00F466B7">
        <w:rPr>
          <w:rFonts w:ascii="Times New Roman" w:hAnsi="Times New Roman"/>
          <w:sz w:val="22"/>
          <w:szCs w:val="22"/>
          <w:lang w:val="en-GB"/>
        </w:rPr>
        <w:t xml:space="preserve">For </w:t>
      </w:r>
      <w:smartTag w:uri="urn:schemas-microsoft-com:office:smarttags" w:element="place">
        <w:r w:rsidRPr="00F466B7">
          <w:rPr>
            <w:rFonts w:ascii="Times New Roman" w:hAnsi="Times New Roman"/>
            <w:sz w:val="22"/>
            <w:szCs w:val="22"/>
            <w:lang w:val="en-GB"/>
          </w:rPr>
          <w:t>Lot</w:t>
        </w:r>
      </w:smartTag>
      <w:r w:rsidRPr="00F466B7">
        <w:rPr>
          <w:rFonts w:ascii="Times New Roman" w:hAnsi="Times New Roman"/>
          <w:sz w:val="22"/>
          <w:szCs w:val="22"/>
          <w:lang w:val="en-GB"/>
        </w:rPr>
        <w:t xml:space="preserve"> 2, the average annual turnover for the last three financial years (2007, 2008 and 2009) of the candidate must be at </w:t>
      </w:r>
      <w:r w:rsidRPr="00F466B7">
        <w:rPr>
          <w:rFonts w:ascii="Times New Roman" w:hAnsi="Times New Roman"/>
          <w:sz w:val="22"/>
          <w:szCs w:val="22"/>
          <w:lang w:val="en-US"/>
        </w:rPr>
        <w:t>least two times of the submitted financial proposal.</w:t>
      </w:r>
    </w:p>
    <w:p w:rsidR="00265D71" w:rsidRPr="00F466B7" w:rsidRDefault="00265D71" w:rsidP="00FE4081">
      <w:pPr>
        <w:pStyle w:val="blockquote"/>
        <w:spacing w:before="2" w:after="2"/>
        <w:ind w:left="708" w:right="357"/>
        <w:jc w:val="both"/>
        <w:rPr>
          <w:rFonts w:ascii="Times New Roman" w:hAnsi="Times New Roman"/>
          <w:sz w:val="22"/>
          <w:szCs w:val="22"/>
          <w:lang w:val="en-GB"/>
        </w:rPr>
      </w:pPr>
    </w:p>
    <w:p w:rsidR="00265D71" w:rsidRPr="00F466B7" w:rsidRDefault="00265D71" w:rsidP="00EA7DF0">
      <w:pPr>
        <w:pStyle w:val="blockquote"/>
        <w:spacing w:before="2" w:after="2"/>
        <w:ind w:left="708" w:right="357"/>
        <w:jc w:val="both"/>
        <w:rPr>
          <w:rFonts w:ascii="Times New Roman" w:hAnsi="Times New Roman"/>
          <w:sz w:val="22"/>
          <w:szCs w:val="22"/>
          <w:lang w:val="en-US"/>
        </w:rPr>
      </w:pPr>
      <w:r w:rsidRPr="00F466B7">
        <w:rPr>
          <w:rFonts w:ascii="Times New Roman" w:hAnsi="Times New Roman"/>
          <w:sz w:val="22"/>
          <w:szCs w:val="22"/>
          <w:lang w:val="en-US"/>
        </w:rPr>
        <w:t xml:space="preserve">·     </w:t>
      </w:r>
      <w:r w:rsidRPr="00F466B7">
        <w:rPr>
          <w:rFonts w:ascii="Times New Roman" w:hAnsi="Times New Roman"/>
          <w:sz w:val="22"/>
          <w:szCs w:val="22"/>
          <w:lang w:val="en-GB"/>
        </w:rPr>
        <w:t xml:space="preserve">For </w:t>
      </w:r>
      <w:smartTag w:uri="urn:schemas-microsoft-com:office:smarttags" w:element="place">
        <w:r w:rsidRPr="00F466B7">
          <w:rPr>
            <w:rFonts w:ascii="Times New Roman" w:hAnsi="Times New Roman"/>
            <w:sz w:val="22"/>
            <w:szCs w:val="22"/>
            <w:lang w:val="en-GB"/>
          </w:rPr>
          <w:t>Lot</w:t>
        </w:r>
      </w:smartTag>
      <w:r w:rsidRPr="00F466B7">
        <w:rPr>
          <w:rFonts w:ascii="Times New Roman" w:hAnsi="Times New Roman"/>
          <w:sz w:val="22"/>
          <w:szCs w:val="22"/>
          <w:lang w:val="en-GB"/>
        </w:rPr>
        <w:t xml:space="preserve"> 3, the average annual turnover for the last three financial years (2007, 2008 and 2009) of the candidate must be at </w:t>
      </w:r>
      <w:r w:rsidRPr="00F466B7">
        <w:rPr>
          <w:rFonts w:ascii="Times New Roman" w:hAnsi="Times New Roman"/>
          <w:sz w:val="22"/>
          <w:szCs w:val="22"/>
          <w:lang w:val="en-US"/>
        </w:rPr>
        <w:t>least two times of the submitted financial proposal.</w:t>
      </w:r>
    </w:p>
    <w:p w:rsidR="00265D71" w:rsidRPr="00F466B7" w:rsidRDefault="00265D71" w:rsidP="00EA7DF0">
      <w:pPr>
        <w:pStyle w:val="blockquote"/>
        <w:spacing w:before="2" w:after="2"/>
        <w:ind w:left="708" w:right="357"/>
        <w:jc w:val="both"/>
        <w:rPr>
          <w:rFonts w:ascii="Times New Roman" w:hAnsi="Times New Roman"/>
          <w:sz w:val="22"/>
          <w:szCs w:val="22"/>
          <w:lang w:val="en-GB"/>
        </w:rPr>
      </w:pPr>
    </w:p>
    <w:p w:rsidR="00265D71" w:rsidRPr="00F466B7" w:rsidRDefault="00265D71" w:rsidP="00C51724">
      <w:pPr>
        <w:pStyle w:val="blockquote"/>
        <w:spacing w:before="2" w:after="2"/>
        <w:ind w:left="708" w:right="357"/>
        <w:jc w:val="both"/>
        <w:rPr>
          <w:rFonts w:ascii="Times New Roman" w:hAnsi="Times New Roman"/>
          <w:sz w:val="22"/>
          <w:szCs w:val="22"/>
          <w:lang w:val="en-US"/>
        </w:rPr>
      </w:pPr>
      <w:r w:rsidRPr="00F466B7">
        <w:rPr>
          <w:rFonts w:ascii="Times New Roman" w:hAnsi="Times New Roman"/>
          <w:sz w:val="22"/>
          <w:szCs w:val="22"/>
          <w:lang w:val="en-US"/>
        </w:rPr>
        <w:t xml:space="preserve">·     </w:t>
      </w:r>
      <w:r w:rsidRPr="00F466B7">
        <w:rPr>
          <w:rFonts w:ascii="Times New Roman" w:hAnsi="Times New Roman"/>
          <w:sz w:val="22"/>
          <w:szCs w:val="22"/>
          <w:lang w:val="en-GB"/>
        </w:rPr>
        <w:t xml:space="preserve">For </w:t>
      </w:r>
      <w:smartTag w:uri="urn:schemas-microsoft-com:office:smarttags" w:element="place">
        <w:r w:rsidRPr="00F466B7">
          <w:rPr>
            <w:rFonts w:ascii="Times New Roman" w:hAnsi="Times New Roman"/>
            <w:sz w:val="22"/>
            <w:szCs w:val="22"/>
            <w:lang w:val="en-GB"/>
          </w:rPr>
          <w:t>Lot</w:t>
        </w:r>
      </w:smartTag>
      <w:r w:rsidRPr="00F466B7">
        <w:rPr>
          <w:rFonts w:ascii="Times New Roman" w:hAnsi="Times New Roman"/>
          <w:sz w:val="22"/>
          <w:szCs w:val="22"/>
          <w:lang w:val="en-GB"/>
        </w:rPr>
        <w:t xml:space="preserve"> 4, the average annual turnover for the last three financial years (2007, 2008 and 2009) of the candidate must be at </w:t>
      </w:r>
      <w:r w:rsidRPr="00F466B7">
        <w:rPr>
          <w:rFonts w:ascii="Times New Roman" w:hAnsi="Times New Roman"/>
          <w:sz w:val="22"/>
          <w:szCs w:val="22"/>
          <w:lang w:val="en-US"/>
        </w:rPr>
        <w:t>least two times of the submitted financial proposal.</w:t>
      </w:r>
    </w:p>
    <w:p w:rsidR="00265D71" w:rsidRPr="00F466B7" w:rsidRDefault="00265D71" w:rsidP="00C51724">
      <w:pPr>
        <w:pStyle w:val="blockquote"/>
        <w:spacing w:before="2" w:after="2"/>
        <w:ind w:left="708" w:right="357"/>
        <w:jc w:val="both"/>
        <w:rPr>
          <w:rFonts w:ascii="Times New Roman" w:hAnsi="Times New Roman"/>
          <w:sz w:val="22"/>
          <w:szCs w:val="22"/>
          <w:lang w:val="en-US"/>
        </w:rPr>
      </w:pPr>
    </w:p>
    <w:p w:rsidR="00265D71" w:rsidRPr="00F466B7" w:rsidRDefault="00265D71" w:rsidP="00F63FC2">
      <w:pPr>
        <w:pStyle w:val="blockquote"/>
        <w:spacing w:before="2" w:after="2"/>
        <w:ind w:left="680" w:right="357"/>
        <w:jc w:val="both"/>
        <w:rPr>
          <w:rFonts w:ascii="Times New Roman" w:hAnsi="Times New Roman"/>
          <w:sz w:val="22"/>
          <w:szCs w:val="22"/>
          <w:lang w:val="en-US"/>
        </w:rPr>
      </w:pPr>
      <w:r w:rsidRPr="00F466B7">
        <w:rPr>
          <w:rFonts w:ascii="Times New Roman" w:hAnsi="Times New Roman"/>
          <w:sz w:val="22"/>
          <w:szCs w:val="22"/>
          <w:lang w:val="en-US"/>
        </w:rPr>
        <w:t xml:space="preserve">·     </w:t>
      </w:r>
      <w:r w:rsidRPr="00F466B7">
        <w:rPr>
          <w:rFonts w:ascii="Times New Roman" w:hAnsi="Times New Roman"/>
          <w:sz w:val="22"/>
          <w:szCs w:val="22"/>
          <w:lang w:val="en-GB"/>
        </w:rPr>
        <w:t xml:space="preserve">For </w:t>
      </w:r>
      <w:smartTag w:uri="urn:schemas-microsoft-com:office:smarttags" w:element="place">
        <w:r w:rsidRPr="00F466B7">
          <w:rPr>
            <w:rFonts w:ascii="Times New Roman" w:hAnsi="Times New Roman"/>
            <w:sz w:val="22"/>
            <w:szCs w:val="22"/>
            <w:lang w:val="en-GB"/>
          </w:rPr>
          <w:t>Lot</w:t>
        </w:r>
      </w:smartTag>
      <w:r w:rsidRPr="00F466B7">
        <w:rPr>
          <w:rFonts w:ascii="Times New Roman" w:hAnsi="Times New Roman"/>
          <w:sz w:val="22"/>
          <w:szCs w:val="22"/>
          <w:lang w:val="en-GB"/>
        </w:rPr>
        <w:t xml:space="preserve"> 5, the average annual turnover for the last three financial years (2007, 2008 and    2009) of the candidate must be at </w:t>
      </w:r>
      <w:r w:rsidRPr="00F466B7">
        <w:rPr>
          <w:rFonts w:ascii="Times New Roman" w:hAnsi="Times New Roman"/>
          <w:sz w:val="22"/>
          <w:szCs w:val="22"/>
          <w:lang w:val="en-US"/>
        </w:rPr>
        <w:t>least two times of the submitted financial proposal.</w:t>
      </w:r>
    </w:p>
    <w:p w:rsidR="00265D71" w:rsidRPr="00F466B7" w:rsidRDefault="00265D71" w:rsidP="00F63FC2">
      <w:pPr>
        <w:pStyle w:val="blockquote"/>
        <w:spacing w:before="2" w:after="2"/>
        <w:jc w:val="both"/>
        <w:rPr>
          <w:rFonts w:ascii="Times New Roman" w:hAnsi="Times New Roman"/>
          <w:b/>
          <w:sz w:val="22"/>
          <w:szCs w:val="22"/>
          <w:lang w:val="en-GB"/>
        </w:rPr>
      </w:pPr>
    </w:p>
    <w:p w:rsidR="00265D71" w:rsidRPr="00F466B7" w:rsidRDefault="00265D71" w:rsidP="00DF6F78">
      <w:pPr>
        <w:pStyle w:val="blockquote"/>
        <w:spacing w:before="2" w:after="2"/>
        <w:ind w:left="700"/>
        <w:jc w:val="both"/>
        <w:rPr>
          <w:rFonts w:ascii="Times New Roman" w:hAnsi="Times New Roman"/>
          <w:sz w:val="22"/>
          <w:szCs w:val="22"/>
          <w:lang w:val="en-GB"/>
        </w:rPr>
      </w:pPr>
      <w:r w:rsidRPr="00F466B7">
        <w:rPr>
          <w:rFonts w:ascii="Times New Roman" w:hAnsi="Times New Roman"/>
          <w:b/>
          <w:sz w:val="22"/>
          <w:szCs w:val="22"/>
          <w:lang w:val="en-GB"/>
        </w:rPr>
        <w:t>2) Professional capacity of tenderer</w:t>
      </w:r>
      <w:r w:rsidRPr="00F466B7">
        <w:rPr>
          <w:rFonts w:ascii="Times New Roman" w:hAnsi="Times New Roman"/>
          <w:sz w:val="22"/>
          <w:szCs w:val="22"/>
          <w:lang w:val="en-GB"/>
        </w:rPr>
        <w:t xml:space="preserve"> (based on i.a. items 4 and 5 of the Tender Form for a Supply Contract)</w:t>
      </w:r>
    </w:p>
    <w:p w:rsidR="00265D71" w:rsidRPr="00F466B7" w:rsidRDefault="00265D71" w:rsidP="00DF6F78">
      <w:pPr>
        <w:pStyle w:val="blockquote"/>
        <w:spacing w:before="2" w:after="2"/>
        <w:ind w:left="700"/>
        <w:jc w:val="both"/>
        <w:rPr>
          <w:rFonts w:ascii="Times New Roman" w:hAnsi="Times New Roman"/>
          <w:sz w:val="22"/>
          <w:szCs w:val="22"/>
          <w:lang w:val="en-GB"/>
        </w:rPr>
      </w:pPr>
    </w:p>
    <w:p w:rsidR="00265D71" w:rsidRDefault="00265D71" w:rsidP="00F6710B">
      <w:pPr>
        <w:pStyle w:val="blockquote"/>
        <w:spacing w:before="2" w:after="2"/>
        <w:ind w:left="1060"/>
        <w:jc w:val="both"/>
        <w:rPr>
          <w:rFonts w:ascii="Times New Roman" w:hAnsi="Times New Roman"/>
          <w:sz w:val="22"/>
          <w:szCs w:val="22"/>
        </w:rPr>
      </w:pPr>
      <w:r w:rsidRPr="00F466B7">
        <w:rPr>
          <w:rFonts w:ascii="Times New Roman" w:hAnsi="Times New Roman"/>
          <w:b/>
          <w:sz w:val="22"/>
          <w:szCs w:val="22"/>
        </w:rPr>
        <w:t>All Lots</w:t>
      </w:r>
      <w:r>
        <w:rPr>
          <w:rFonts w:ascii="Times New Roman" w:hAnsi="Times New Roman"/>
          <w:sz w:val="22"/>
          <w:szCs w:val="22"/>
        </w:rPr>
        <w:t>:</w:t>
      </w:r>
    </w:p>
    <w:p w:rsidR="00265D71" w:rsidRPr="00F466B7" w:rsidRDefault="00265D71" w:rsidP="00F6710B">
      <w:pPr>
        <w:pStyle w:val="blockquote"/>
        <w:spacing w:before="2" w:after="2"/>
        <w:ind w:left="1060"/>
        <w:jc w:val="both"/>
        <w:rPr>
          <w:rFonts w:ascii="Times New Roman" w:hAnsi="Times New Roman"/>
          <w:sz w:val="22"/>
          <w:szCs w:val="22"/>
        </w:rPr>
      </w:pPr>
    </w:p>
    <w:p w:rsidR="00265D71" w:rsidRPr="00F6710B" w:rsidRDefault="00265D71" w:rsidP="00CA3CB5">
      <w:pPr>
        <w:ind w:left="1040" w:right="345"/>
        <w:jc w:val="both"/>
        <w:rPr>
          <w:rFonts w:ascii="Times New Roman" w:hAnsi="Times New Roman"/>
          <w:color w:val="000000"/>
          <w:sz w:val="22"/>
          <w:szCs w:val="22"/>
          <w:lang w:val="en-GB"/>
        </w:rPr>
      </w:pPr>
      <w:r w:rsidRPr="00F6710B">
        <w:rPr>
          <w:rFonts w:ascii="Times New Roman" w:hAnsi="Times New Roman"/>
          <w:color w:val="000000"/>
          <w:sz w:val="22"/>
          <w:szCs w:val="22"/>
          <w:lang w:val="en-GB"/>
        </w:rPr>
        <w:t xml:space="preserve">The tenderer must provide evidence of his, or the Manufacturer’s if the tenderer is not the Manufacturer, current Quality Management System Certificate according to ISO 9001 or national equivalent. </w:t>
      </w:r>
    </w:p>
    <w:p w:rsidR="00265D71" w:rsidRPr="00F466B7" w:rsidRDefault="00265D71" w:rsidP="00CA3CB5">
      <w:pPr>
        <w:ind w:left="1040" w:right="345"/>
        <w:jc w:val="both"/>
        <w:rPr>
          <w:rFonts w:ascii="Times New Roman" w:hAnsi="Times New Roman"/>
          <w:sz w:val="22"/>
          <w:szCs w:val="22"/>
          <w:lang w:val="en-GB" w:eastAsia="it-IT"/>
        </w:rPr>
      </w:pPr>
      <w:r w:rsidRPr="00F466B7">
        <w:rPr>
          <w:rFonts w:ascii="Times New Roman" w:hAnsi="Times New Roman"/>
          <w:color w:val="000000"/>
          <w:sz w:val="22"/>
          <w:szCs w:val="22"/>
          <w:lang w:val="en-GB"/>
        </w:rPr>
        <w:tab/>
      </w:r>
    </w:p>
    <w:p w:rsidR="00265D71" w:rsidRPr="00F466B7" w:rsidRDefault="00265D71" w:rsidP="00A04E6A">
      <w:pPr>
        <w:spacing w:beforeLines="1" w:afterLines="1"/>
        <w:ind w:left="700"/>
        <w:jc w:val="both"/>
        <w:rPr>
          <w:rFonts w:ascii="Times New Roman" w:hAnsi="Times New Roman"/>
          <w:sz w:val="22"/>
          <w:szCs w:val="22"/>
          <w:lang w:val="en-GB" w:eastAsia="it-IT"/>
        </w:rPr>
      </w:pPr>
      <w:r w:rsidRPr="00F466B7">
        <w:rPr>
          <w:rFonts w:ascii="Times New Roman" w:hAnsi="Times New Roman"/>
          <w:b/>
          <w:sz w:val="22"/>
          <w:szCs w:val="22"/>
          <w:lang w:val="en-GB" w:eastAsia="it-IT"/>
        </w:rPr>
        <w:t>3) Technical capacity of tenderer</w:t>
      </w:r>
      <w:r w:rsidRPr="00F466B7">
        <w:rPr>
          <w:rFonts w:ascii="Times New Roman" w:hAnsi="Times New Roman"/>
          <w:sz w:val="22"/>
          <w:szCs w:val="22"/>
          <w:lang w:val="en-GB" w:eastAsia="it-IT"/>
        </w:rPr>
        <w:t xml:space="preserve"> </w:t>
      </w:r>
      <w:r w:rsidRPr="00F466B7">
        <w:rPr>
          <w:rFonts w:ascii="Times New Roman" w:hAnsi="Times New Roman"/>
          <w:i/>
          <w:sz w:val="22"/>
          <w:szCs w:val="22"/>
          <w:lang w:val="en-GB" w:eastAsia="it-IT"/>
        </w:rPr>
        <w:t>(</w:t>
      </w:r>
      <w:r w:rsidRPr="00F466B7">
        <w:rPr>
          <w:rFonts w:ascii="Times New Roman" w:hAnsi="Times New Roman"/>
          <w:sz w:val="22"/>
          <w:szCs w:val="22"/>
          <w:lang w:val="en-GB" w:eastAsia="it-IT"/>
        </w:rPr>
        <w:t>based on i.a. items 5 and 6 of the Tender Form for a Supply Contract)</w:t>
      </w:r>
    </w:p>
    <w:p w:rsidR="00265D71" w:rsidRPr="00F466B7" w:rsidRDefault="00265D71" w:rsidP="00A04E6A">
      <w:pPr>
        <w:spacing w:beforeLines="1" w:afterLines="1"/>
        <w:ind w:left="700"/>
        <w:jc w:val="both"/>
        <w:rPr>
          <w:rFonts w:ascii="Times New Roman" w:hAnsi="Times New Roman"/>
          <w:sz w:val="22"/>
          <w:szCs w:val="22"/>
          <w:lang w:val="en-GB" w:eastAsia="it-IT"/>
        </w:rPr>
      </w:pPr>
    </w:p>
    <w:p w:rsidR="00265D71" w:rsidRDefault="00265D71" w:rsidP="00A04E6A">
      <w:pPr>
        <w:pStyle w:val="ListParagraph"/>
        <w:numPr>
          <w:ilvl w:val="0"/>
          <w:numId w:val="1"/>
        </w:numPr>
        <w:spacing w:beforeLines="1" w:afterLines="1"/>
        <w:jc w:val="both"/>
        <w:rPr>
          <w:rFonts w:ascii="Times New Roman" w:hAnsi="Times New Roman"/>
          <w:b/>
          <w:sz w:val="22"/>
          <w:szCs w:val="22"/>
          <w:lang w:val="en-GB" w:eastAsia="it-IT"/>
        </w:rPr>
      </w:pPr>
      <w:smartTag w:uri="urn:schemas-microsoft-com:office:smarttags" w:element="place">
        <w:r w:rsidRPr="00F466B7">
          <w:rPr>
            <w:rFonts w:ascii="Times New Roman" w:hAnsi="Times New Roman"/>
            <w:b/>
            <w:sz w:val="22"/>
            <w:szCs w:val="22"/>
            <w:lang w:val="en-GB" w:eastAsia="it-IT"/>
          </w:rPr>
          <w:t>Lot</w:t>
        </w:r>
      </w:smartTag>
      <w:r w:rsidRPr="00F466B7">
        <w:rPr>
          <w:rFonts w:ascii="Times New Roman" w:hAnsi="Times New Roman"/>
          <w:b/>
          <w:sz w:val="22"/>
          <w:szCs w:val="22"/>
          <w:lang w:val="en-GB" w:eastAsia="it-IT"/>
        </w:rPr>
        <w:t xml:space="preserve"> 1 and 5 :</w:t>
      </w:r>
    </w:p>
    <w:p w:rsidR="00265D71" w:rsidRPr="00F466B7" w:rsidRDefault="00265D71" w:rsidP="00F6710B">
      <w:pPr>
        <w:pStyle w:val="ListParagraph"/>
        <w:spacing w:beforeLines="1" w:afterLines="1"/>
        <w:ind w:left="1060"/>
        <w:jc w:val="both"/>
        <w:rPr>
          <w:rFonts w:ascii="Times New Roman" w:hAnsi="Times New Roman"/>
          <w:b/>
          <w:sz w:val="22"/>
          <w:szCs w:val="22"/>
          <w:lang w:val="en-GB" w:eastAsia="it-IT"/>
        </w:rPr>
      </w:pPr>
    </w:p>
    <w:p w:rsidR="00265D71" w:rsidRDefault="00265D71" w:rsidP="00F6710B">
      <w:pPr>
        <w:pStyle w:val="ListParagraph"/>
        <w:spacing w:beforeLines="1" w:afterLines="1"/>
        <w:ind w:left="700"/>
        <w:jc w:val="both"/>
        <w:rPr>
          <w:rFonts w:ascii="Times New Roman" w:hAnsi="Times New Roman"/>
          <w:sz w:val="22"/>
          <w:szCs w:val="22"/>
          <w:lang w:val="en-GB" w:eastAsia="it-IT"/>
        </w:rPr>
      </w:pPr>
      <w:r w:rsidRPr="00F466B7">
        <w:rPr>
          <w:rFonts w:ascii="Times New Roman" w:hAnsi="Times New Roman"/>
          <w:sz w:val="22"/>
          <w:szCs w:val="22"/>
          <w:lang w:val="en-US" w:eastAsia="it-IT"/>
        </w:rPr>
        <w:t>The Tenderer has completed (provisional or final acceptance certificate  has been issued, or equivalent) at least two projects in the required fields of supply described in Article 6 (within the three year period prior to the closing date of submission of the application) and where the supply component contribution by this consortium, a partner or sole tenderer to the project has been</w:t>
      </w:r>
      <w:r w:rsidRPr="00F466B7">
        <w:rPr>
          <w:rFonts w:ascii="Times New Roman" w:hAnsi="Times New Roman"/>
          <w:sz w:val="22"/>
          <w:szCs w:val="22"/>
          <w:lang w:val="en-GB" w:eastAsia="it-IT"/>
        </w:rPr>
        <w:t xml:space="preserve"> for a value each of more than 500.000 €</w:t>
      </w:r>
    </w:p>
    <w:p w:rsidR="00265D71" w:rsidRPr="00F466B7" w:rsidRDefault="00265D71" w:rsidP="00F6710B">
      <w:pPr>
        <w:pStyle w:val="ListParagraph"/>
        <w:spacing w:beforeLines="1" w:afterLines="1"/>
        <w:ind w:left="700"/>
        <w:jc w:val="both"/>
        <w:rPr>
          <w:rFonts w:ascii="Times New Roman" w:hAnsi="Times New Roman"/>
          <w:sz w:val="22"/>
          <w:szCs w:val="22"/>
          <w:lang w:val="en-GB" w:eastAsia="it-IT"/>
        </w:rPr>
      </w:pPr>
    </w:p>
    <w:p w:rsidR="00265D71" w:rsidRDefault="00265D71" w:rsidP="00A04E6A">
      <w:pPr>
        <w:pStyle w:val="ListParagraph"/>
        <w:numPr>
          <w:ilvl w:val="0"/>
          <w:numId w:val="1"/>
        </w:numPr>
        <w:spacing w:beforeLines="1" w:afterLines="1"/>
        <w:jc w:val="both"/>
        <w:rPr>
          <w:rFonts w:ascii="Times New Roman" w:hAnsi="Times New Roman"/>
          <w:b/>
          <w:sz w:val="22"/>
          <w:szCs w:val="22"/>
          <w:lang w:eastAsia="it-IT"/>
        </w:rPr>
      </w:pPr>
      <w:r w:rsidRPr="00F466B7">
        <w:rPr>
          <w:rFonts w:ascii="Times New Roman" w:hAnsi="Times New Roman"/>
          <w:b/>
          <w:sz w:val="22"/>
          <w:szCs w:val="22"/>
          <w:lang w:eastAsia="it-IT"/>
        </w:rPr>
        <w:t>Other Lots</w:t>
      </w:r>
    </w:p>
    <w:p w:rsidR="00265D71" w:rsidRPr="00F466B7" w:rsidRDefault="00265D71" w:rsidP="00F6710B">
      <w:pPr>
        <w:pStyle w:val="ListParagraph"/>
        <w:spacing w:beforeLines="1" w:afterLines="1"/>
        <w:ind w:left="1060"/>
        <w:jc w:val="both"/>
        <w:rPr>
          <w:rFonts w:ascii="Times New Roman" w:hAnsi="Times New Roman"/>
          <w:b/>
          <w:sz w:val="22"/>
          <w:szCs w:val="22"/>
          <w:lang w:eastAsia="it-IT"/>
        </w:rPr>
      </w:pPr>
    </w:p>
    <w:p w:rsidR="00265D71" w:rsidRPr="00F466B7" w:rsidRDefault="00265D71" w:rsidP="00A04E6A">
      <w:pPr>
        <w:spacing w:beforeLines="1" w:afterLines="1"/>
        <w:ind w:left="708"/>
        <w:jc w:val="both"/>
        <w:rPr>
          <w:rFonts w:ascii="Times New Roman" w:hAnsi="Times New Roman"/>
          <w:sz w:val="22"/>
          <w:szCs w:val="22"/>
          <w:lang w:val="en-GB" w:eastAsia="it-IT"/>
        </w:rPr>
      </w:pPr>
      <w:r w:rsidRPr="00F466B7">
        <w:rPr>
          <w:rFonts w:ascii="Times New Roman" w:hAnsi="Times New Roman"/>
          <w:sz w:val="22"/>
          <w:szCs w:val="22"/>
          <w:lang w:val="en-US" w:eastAsia="it-IT"/>
        </w:rPr>
        <w:t>The Tenderer has carried out a minimum of two reference supplies of similar kind to the ones under these lots within the three year period prior to the closing date of submission of the application. The minimum value of each of these supplies must be at least:</w:t>
      </w:r>
    </w:p>
    <w:p w:rsidR="00265D71" w:rsidRPr="00F466B7" w:rsidRDefault="00265D71" w:rsidP="000E1BCC">
      <w:pPr>
        <w:ind w:left="1276" w:right="357"/>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for </w:t>
      </w:r>
      <w:smartTag w:uri="urn:schemas-microsoft-com:office:smarttags" w:element="place">
        <w:r w:rsidRPr="00F466B7">
          <w:rPr>
            <w:rFonts w:ascii="Times New Roman" w:hAnsi="Times New Roman"/>
            <w:sz w:val="22"/>
            <w:szCs w:val="22"/>
            <w:lang w:val="en-GB" w:eastAsia="it-IT"/>
          </w:rPr>
          <w:t>Lot</w:t>
        </w:r>
      </w:smartTag>
      <w:r w:rsidRPr="00F466B7">
        <w:rPr>
          <w:rFonts w:ascii="Times New Roman" w:hAnsi="Times New Roman"/>
          <w:sz w:val="22"/>
          <w:szCs w:val="22"/>
          <w:lang w:val="en-GB" w:eastAsia="it-IT"/>
        </w:rPr>
        <w:t xml:space="preserve"> 2 and 3:  more than 500,000 €</w:t>
      </w:r>
    </w:p>
    <w:p w:rsidR="00265D71" w:rsidRDefault="00265D71" w:rsidP="000E1BCC">
      <w:pPr>
        <w:ind w:left="360" w:right="357" w:firstLine="916"/>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for </w:t>
      </w:r>
      <w:smartTag w:uri="urn:schemas-microsoft-com:office:smarttags" w:element="place">
        <w:r w:rsidRPr="00F466B7">
          <w:rPr>
            <w:rFonts w:ascii="Times New Roman" w:hAnsi="Times New Roman"/>
            <w:sz w:val="22"/>
            <w:szCs w:val="22"/>
            <w:lang w:val="en-GB" w:eastAsia="it-IT"/>
          </w:rPr>
          <w:t>Lot</w:t>
        </w:r>
      </w:smartTag>
      <w:r w:rsidRPr="00F466B7">
        <w:rPr>
          <w:rFonts w:ascii="Times New Roman" w:hAnsi="Times New Roman"/>
          <w:sz w:val="22"/>
          <w:szCs w:val="22"/>
          <w:lang w:val="en-GB" w:eastAsia="it-IT"/>
        </w:rPr>
        <w:t xml:space="preserve"> 4:  more than 100.000 €</w:t>
      </w:r>
    </w:p>
    <w:p w:rsidR="00265D71" w:rsidRPr="00F466B7" w:rsidRDefault="00265D71" w:rsidP="000E1BCC">
      <w:pPr>
        <w:ind w:left="360" w:right="357" w:firstLine="916"/>
        <w:jc w:val="both"/>
        <w:rPr>
          <w:rFonts w:ascii="Times New Roman" w:hAnsi="Times New Roman"/>
          <w:sz w:val="22"/>
          <w:szCs w:val="22"/>
          <w:lang w:val="en-GB" w:eastAsia="it-IT"/>
        </w:rPr>
      </w:pPr>
    </w:p>
    <w:p w:rsidR="00265D71" w:rsidRDefault="00265D71" w:rsidP="00A04E6A">
      <w:pPr>
        <w:spacing w:beforeLines="1" w:afterLines="1"/>
        <w:ind w:left="708"/>
        <w:rPr>
          <w:rFonts w:ascii="Times New Roman" w:hAnsi="Times New Roman"/>
          <w:sz w:val="22"/>
          <w:szCs w:val="22"/>
          <w:lang w:val="en-US" w:eastAsia="it-IT"/>
        </w:rPr>
      </w:pPr>
      <w:r w:rsidRPr="00F466B7">
        <w:rPr>
          <w:rFonts w:ascii="Times New Roman" w:hAnsi="Times New Roman"/>
          <w:sz w:val="22"/>
          <w:szCs w:val="22"/>
          <w:lang w:val="en-US" w:eastAsia="it-IT"/>
        </w:rPr>
        <w:t>Failure to comply with one or more of the above-mentioned selection criteria will lead to the rejection of the tender.</w:t>
      </w:r>
    </w:p>
    <w:p w:rsidR="00265D71" w:rsidRPr="00F466B7" w:rsidRDefault="00265D71" w:rsidP="00A04E6A">
      <w:pPr>
        <w:spacing w:beforeLines="1" w:afterLines="1"/>
        <w:ind w:left="708"/>
        <w:rPr>
          <w:rFonts w:ascii="Times New Roman" w:hAnsi="Times New Roman"/>
          <w:sz w:val="22"/>
          <w:szCs w:val="22"/>
          <w:lang w:val="en-GB" w:eastAsia="it-IT"/>
        </w:rPr>
      </w:pPr>
    </w:p>
    <w:p w:rsidR="00265D71" w:rsidRPr="00F466B7" w:rsidRDefault="00265D71" w:rsidP="00A04E6A">
      <w:pPr>
        <w:spacing w:beforeLines="1" w:afterLines="1"/>
        <w:ind w:left="708"/>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w:t>
      </w:r>
      <w:r w:rsidRPr="00F466B7">
        <w:rPr>
          <w:rFonts w:ascii="Times New Roman" w:hAnsi="Times New Roman"/>
          <w:sz w:val="22"/>
          <w:szCs w:val="22"/>
          <w:lang w:val="en-US" w:eastAsia="it-IT"/>
        </w:rPr>
        <w:t xml:space="preserve">The written undertaking must be attached to the Application and must clearly bind sufficient resources of the entity/ies drawn upon at least for the maximum period of implementation of the contract. </w:t>
      </w:r>
      <w:r w:rsidRPr="00F466B7">
        <w:rPr>
          <w:rFonts w:ascii="Times New Roman" w:hAnsi="Times New Roman"/>
          <w:sz w:val="22"/>
          <w:szCs w:val="22"/>
          <w:lang w:val="en-GB" w:eastAsia="it-IT"/>
        </w:rPr>
        <w:t>Such entities must respect the same rules of eligibility and notably that of nationality, as the economic operator</w:t>
      </w:r>
      <w:r w:rsidRPr="00F466B7">
        <w:rPr>
          <w:rFonts w:ascii="Times New Roman" w:hAnsi="Times New Roman"/>
          <w:color w:val="0070C0"/>
          <w:sz w:val="22"/>
          <w:szCs w:val="22"/>
          <w:lang w:val="en-GB" w:eastAsia="it-IT"/>
        </w:rPr>
        <w:t>.</w:t>
      </w:r>
    </w:p>
    <w:p w:rsidR="00265D71" w:rsidRPr="00F466B7" w:rsidRDefault="00265D71" w:rsidP="00A04E6A">
      <w:pPr>
        <w:spacing w:beforeLines="1" w:afterLines="1"/>
        <w:rPr>
          <w:rFonts w:ascii="Times New Roman" w:hAnsi="Times New Roman"/>
          <w:sz w:val="22"/>
          <w:szCs w:val="22"/>
          <w:lang w:val="en-GB" w:eastAsia="it-IT"/>
        </w:rPr>
      </w:pP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sz w:val="22"/>
          <w:szCs w:val="22"/>
          <w:lang w:val="en-GB" w:eastAsia="it-IT"/>
        </w:rPr>
      </w:pPr>
      <w:r w:rsidRPr="00F466B7">
        <w:rPr>
          <w:rFonts w:ascii="Times New Roman" w:hAnsi="Times New Roman"/>
          <w:b/>
          <w:sz w:val="22"/>
          <w:szCs w:val="22"/>
          <w:lang w:val="en-GB" w:eastAsia="it-IT"/>
        </w:rPr>
        <w:t>17.    Award criteria</w:t>
      </w:r>
    </w:p>
    <w:p w:rsidR="00265D71" w:rsidRPr="00F466B7" w:rsidRDefault="00265D71" w:rsidP="00A04E6A">
      <w:pPr>
        <w:spacing w:beforeLines="1" w:afterLines="1"/>
        <w:ind w:left="709"/>
        <w:rPr>
          <w:rFonts w:ascii="Times New Roman" w:hAnsi="Times New Roman"/>
          <w:color w:val="000000"/>
          <w:sz w:val="22"/>
          <w:szCs w:val="22"/>
          <w:lang w:val="en-GB"/>
        </w:rPr>
      </w:pPr>
      <w:r w:rsidRPr="00F466B7">
        <w:rPr>
          <w:rFonts w:ascii="Times New Roman" w:hAnsi="Times New Roman"/>
          <w:color w:val="000000"/>
          <w:sz w:val="22"/>
          <w:szCs w:val="22"/>
          <w:lang w:val="en-GB"/>
        </w:rPr>
        <w:t>The sole award criterion will be the price. The contract will be awarded to the lowest priced, administratively and technically compliant, tender.</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04E6A">
      <w:pPr>
        <w:spacing w:beforeLines="1" w:afterLines="1"/>
        <w:ind w:left="709"/>
        <w:rPr>
          <w:rStyle w:val="Strong"/>
          <w:rFonts w:ascii="Times New Roman" w:hAnsi="Times New Roman"/>
          <w:sz w:val="22"/>
          <w:szCs w:val="22"/>
          <w:lang w:val="en-GB"/>
        </w:rPr>
      </w:pPr>
      <w:r w:rsidRPr="00F466B7">
        <w:rPr>
          <w:rFonts w:ascii="Times New Roman" w:hAnsi="Times New Roman"/>
          <w:sz w:val="22"/>
          <w:szCs w:val="22"/>
          <w:lang w:val="en-GB" w:eastAsia="it-IT"/>
        </w:rPr>
        <w:tab/>
      </w:r>
      <w:r w:rsidRPr="00F466B7">
        <w:rPr>
          <w:rFonts w:ascii="Times New Roman" w:hAnsi="Times New Roman"/>
          <w:sz w:val="22"/>
          <w:szCs w:val="22"/>
          <w:lang w:val="en-GB" w:eastAsia="it-IT"/>
        </w:rPr>
        <w:tab/>
      </w:r>
      <w:r w:rsidRPr="00F466B7">
        <w:rPr>
          <w:rFonts w:ascii="Times New Roman" w:hAnsi="Times New Roman"/>
          <w:sz w:val="22"/>
          <w:szCs w:val="22"/>
          <w:lang w:val="en-GB" w:eastAsia="it-IT"/>
        </w:rPr>
        <w:tab/>
      </w:r>
      <w:r w:rsidRPr="00F466B7">
        <w:rPr>
          <w:rFonts w:ascii="Times New Roman" w:hAnsi="Times New Roman"/>
          <w:sz w:val="22"/>
          <w:szCs w:val="22"/>
          <w:lang w:val="en-GB" w:eastAsia="it-IT"/>
        </w:rPr>
        <w:tab/>
      </w:r>
      <w:r w:rsidRPr="00F466B7">
        <w:rPr>
          <w:rFonts w:ascii="Times New Roman" w:hAnsi="Times New Roman"/>
          <w:sz w:val="22"/>
          <w:szCs w:val="22"/>
          <w:lang w:val="en-GB" w:eastAsia="it-IT"/>
        </w:rPr>
        <w:tab/>
      </w:r>
      <w:r w:rsidRPr="00F466B7">
        <w:rPr>
          <w:rStyle w:val="Strong"/>
          <w:rFonts w:ascii="Times New Roman" w:hAnsi="Times New Roman"/>
          <w:sz w:val="22"/>
          <w:szCs w:val="22"/>
          <w:lang w:val="en-GB"/>
        </w:rPr>
        <w:t>TENDERING</w:t>
      </w:r>
    </w:p>
    <w:p w:rsidR="00265D71" w:rsidRPr="00F466B7" w:rsidRDefault="00265D71" w:rsidP="00A04E6A">
      <w:pPr>
        <w:spacing w:beforeLines="1" w:afterLines="1"/>
        <w:ind w:left="709"/>
        <w:rPr>
          <w:rStyle w:val="Strong"/>
          <w:rFonts w:ascii="Times New Roman" w:hAnsi="Times New Roman"/>
          <w:sz w:val="22"/>
          <w:szCs w:val="22"/>
          <w:lang w:val="en-GB"/>
        </w:rPr>
      </w:pPr>
    </w:p>
    <w:p w:rsidR="00265D71" w:rsidRPr="00F466B7" w:rsidRDefault="00265D71" w:rsidP="00A04E6A">
      <w:pPr>
        <w:spacing w:beforeLines="1" w:afterLines="1"/>
        <w:ind w:left="709" w:hanging="425"/>
        <w:rPr>
          <w:rFonts w:ascii="Times New Roman" w:hAnsi="Times New Roman"/>
          <w:b/>
          <w:sz w:val="22"/>
          <w:szCs w:val="22"/>
          <w:lang w:val="en-GB" w:eastAsia="it-IT"/>
        </w:rPr>
      </w:pPr>
      <w:r w:rsidRPr="00F466B7">
        <w:rPr>
          <w:rFonts w:ascii="Times New Roman" w:hAnsi="Times New Roman"/>
          <w:b/>
          <w:sz w:val="22"/>
          <w:szCs w:val="22"/>
          <w:lang w:val="en-GB" w:eastAsia="it-IT"/>
        </w:rPr>
        <w:t>18.    How to obtain the tender dossier</w:t>
      </w:r>
    </w:p>
    <w:p w:rsidR="00265D71" w:rsidRPr="00F466B7" w:rsidRDefault="00265D71" w:rsidP="00A04E6A">
      <w:pPr>
        <w:spacing w:beforeLines="1" w:afterLines="1"/>
        <w:ind w:left="709" w:hanging="425"/>
        <w:rPr>
          <w:rFonts w:ascii="Times New Roman" w:hAnsi="Times New Roman"/>
          <w:sz w:val="22"/>
          <w:szCs w:val="22"/>
          <w:lang w:val="en-GB" w:eastAsia="it-IT"/>
        </w:rPr>
      </w:pPr>
    </w:p>
    <w:p w:rsidR="00265D71" w:rsidRPr="00F466B7" w:rsidRDefault="00265D71" w:rsidP="00A04E6A">
      <w:pPr>
        <w:spacing w:beforeLines="1" w:afterLines="1"/>
        <w:ind w:left="709"/>
        <w:rPr>
          <w:rFonts w:ascii="Times New Roman" w:hAnsi="Times New Roman"/>
          <w:color w:val="000000"/>
          <w:sz w:val="22"/>
          <w:szCs w:val="22"/>
          <w:lang w:val="en-GB"/>
        </w:rPr>
      </w:pPr>
      <w:r>
        <w:rPr>
          <w:rFonts w:ascii="Times New Roman" w:hAnsi="Times New Roman"/>
          <w:color w:val="000000"/>
          <w:sz w:val="22"/>
          <w:szCs w:val="22"/>
          <w:lang w:val="en-GB"/>
        </w:rPr>
        <w:t xml:space="preserve">The tender dossier is available from the following Internet </w:t>
      </w:r>
      <w:r w:rsidRPr="00F466B7">
        <w:rPr>
          <w:rFonts w:ascii="Times New Roman" w:hAnsi="Times New Roman"/>
          <w:color w:val="000000"/>
          <w:sz w:val="22"/>
          <w:szCs w:val="22"/>
          <w:lang w:val="en-GB"/>
        </w:rPr>
        <w:t xml:space="preserve">address: </w:t>
      </w:r>
      <w:hyperlink r:id="rId7" w:history="1">
        <w:r w:rsidRPr="00F466B7">
          <w:rPr>
            <w:rStyle w:val="Hyperlink"/>
            <w:rFonts w:ascii="Times New Roman" w:hAnsi="Times New Roman"/>
            <w:sz w:val="22"/>
            <w:szCs w:val="22"/>
            <w:lang w:val="en-GB"/>
          </w:rPr>
          <w:t>https://webgate.ec.europa.eu/europeaid/online-services/index.cfm?do=publi.welcome</w:t>
        </w:r>
      </w:hyperlink>
      <w:r w:rsidRPr="00F466B7">
        <w:rPr>
          <w:rFonts w:ascii="Times New Roman" w:hAnsi="Times New Roman"/>
          <w:color w:val="000000"/>
          <w:sz w:val="22"/>
          <w:szCs w:val="22"/>
          <w:lang w:val="en-GB"/>
        </w:rPr>
        <w:t xml:space="preserve">. </w:t>
      </w:r>
    </w:p>
    <w:p w:rsidR="00265D71" w:rsidRPr="00F466B7" w:rsidRDefault="00265D71" w:rsidP="00A04E6A">
      <w:pPr>
        <w:spacing w:beforeLines="1" w:afterLines="1"/>
        <w:ind w:left="709"/>
        <w:rPr>
          <w:rFonts w:ascii="Times New Roman" w:hAnsi="Times New Roman"/>
          <w:color w:val="000000"/>
          <w:sz w:val="22"/>
          <w:szCs w:val="22"/>
          <w:lang w:val="en-GB"/>
        </w:rPr>
      </w:pPr>
      <w:r w:rsidRPr="00F466B7">
        <w:rPr>
          <w:rFonts w:ascii="Times New Roman" w:hAnsi="Times New Roman"/>
          <w:color w:val="000000"/>
          <w:sz w:val="22"/>
          <w:szCs w:val="22"/>
          <w:lang w:val="en-GB"/>
        </w:rPr>
        <w:t>The tender dossier is also available from the Contracting Authority. Tenders must be submitted using the standard Tender Form for a Supply Contract included in the tender dossier, whose format and instructions must be strictly observed.</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04E6A">
      <w:pPr>
        <w:spacing w:beforeLines="1" w:afterLines="1"/>
        <w:ind w:left="709"/>
        <w:rPr>
          <w:rFonts w:ascii="Times New Roman" w:hAnsi="Times New Roman"/>
          <w:sz w:val="22"/>
          <w:szCs w:val="22"/>
          <w:lang w:val="en-GB" w:eastAsia="it-IT"/>
        </w:rPr>
      </w:pPr>
      <w:r w:rsidRPr="00F466B7">
        <w:rPr>
          <w:rFonts w:ascii="Times New Roman" w:hAnsi="Times New Roman"/>
          <w:sz w:val="22"/>
          <w:szCs w:val="22"/>
          <w:lang w:val="en-GB" w:eastAsia="it-IT"/>
        </w:rPr>
        <w:t>Tenderers with questions regarding this tender should send them in writing to:</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EC792A" w:rsidRDefault="00265D71" w:rsidP="00F6710B">
      <w:pPr>
        <w:pStyle w:val="Heading4"/>
        <w:spacing w:before="0" w:after="0"/>
        <w:jc w:val="center"/>
        <w:rPr>
          <w:i/>
          <w:sz w:val="22"/>
          <w:szCs w:val="22"/>
          <w:lang w:val="en-GB"/>
        </w:rPr>
      </w:pPr>
      <w:r w:rsidRPr="00F466B7">
        <w:rPr>
          <w:b w:val="0"/>
          <w:bCs w:val="0"/>
          <w:i/>
          <w:iCs/>
          <w:color w:val="000000"/>
          <w:sz w:val="22"/>
          <w:szCs w:val="22"/>
          <w:lang w:val="en-GB"/>
        </w:rPr>
        <w:tab/>
        <w:t xml:space="preserve">   </w:t>
      </w:r>
      <w:r w:rsidRPr="00EC792A">
        <w:rPr>
          <w:i/>
          <w:sz w:val="22"/>
          <w:szCs w:val="22"/>
          <w:lang w:val="en-GB"/>
        </w:rPr>
        <w:t>Delegation of the European Union to the Republic of Serbia</w:t>
      </w:r>
    </w:p>
    <w:p w:rsidR="00265D71" w:rsidRPr="00EC792A" w:rsidRDefault="00265D71" w:rsidP="00F6710B">
      <w:pPr>
        <w:ind w:left="709"/>
        <w:jc w:val="center"/>
        <w:rPr>
          <w:rFonts w:ascii="Times New Roman" w:hAnsi="Times New Roman"/>
          <w:i/>
          <w:iCs/>
          <w:sz w:val="22"/>
          <w:szCs w:val="22"/>
          <w:lang w:val="en-GB"/>
        </w:rPr>
      </w:pPr>
      <w:r w:rsidRPr="00EC792A">
        <w:rPr>
          <w:rFonts w:ascii="Times New Roman" w:hAnsi="Times New Roman"/>
          <w:i/>
          <w:iCs/>
          <w:sz w:val="22"/>
          <w:szCs w:val="22"/>
          <w:lang w:val="en-GB"/>
        </w:rPr>
        <w:t>GTC 19 Avenue Building,</w:t>
      </w:r>
    </w:p>
    <w:p w:rsidR="00265D71" w:rsidRDefault="00265D71" w:rsidP="00F6710B">
      <w:pPr>
        <w:ind w:left="709"/>
        <w:jc w:val="center"/>
        <w:rPr>
          <w:rFonts w:ascii="Times New Roman" w:hAnsi="Times New Roman"/>
          <w:i/>
          <w:iCs/>
          <w:sz w:val="22"/>
          <w:szCs w:val="22"/>
          <w:lang w:val="en-GB"/>
        </w:rPr>
      </w:pPr>
      <w:r>
        <w:rPr>
          <w:rFonts w:ascii="Times New Roman" w:hAnsi="Times New Roman"/>
          <w:i/>
          <w:iCs/>
          <w:sz w:val="22"/>
          <w:szCs w:val="22"/>
          <w:lang w:val="en-GB"/>
        </w:rPr>
        <w:t>Vladimira Popovica 40</w:t>
      </w:r>
    </w:p>
    <w:p w:rsidR="00265D71" w:rsidRPr="00EC792A" w:rsidRDefault="00265D71" w:rsidP="00F6710B">
      <w:pPr>
        <w:ind w:left="709"/>
        <w:jc w:val="center"/>
        <w:rPr>
          <w:rFonts w:ascii="Times New Roman" w:hAnsi="Times New Roman"/>
          <w:i/>
          <w:iCs/>
          <w:sz w:val="22"/>
          <w:szCs w:val="22"/>
          <w:lang w:val="en-GB"/>
        </w:rPr>
      </w:pPr>
      <w:r w:rsidRPr="00EC792A">
        <w:rPr>
          <w:rFonts w:ascii="Times New Roman" w:hAnsi="Times New Roman"/>
          <w:i/>
          <w:iCs/>
          <w:sz w:val="22"/>
          <w:szCs w:val="22"/>
          <w:lang w:val="en-GB"/>
        </w:rPr>
        <w:t>Belgrade 11070, Republic of Serbia</w:t>
      </w:r>
    </w:p>
    <w:p w:rsidR="00265D71" w:rsidRPr="00F6710B" w:rsidRDefault="00265D71" w:rsidP="00F6710B">
      <w:pPr>
        <w:ind w:left="709"/>
        <w:jc w:val="center"/>
        <w:rPr>
          <w:rFonts w:ascii="Times New Roman" w:hAnsi="Times New Roman"/>
          <w:b/>
          <w:bCs/>
          <w:i/>
          <w:sz w:val="22"/>
          <w:szCs w:val="22"/>
          <w:lang w:val="en-GB"/>
        </w:rPr>
      </w:pPr>
      <w:r w:rsidRPr="00F6710B">
        <w:rPr>
          <w:rFonts w:ascii="Times New Roman" w:hAnsi="Times New Roman"/>
          <w:b/>
          <w:bCs/>
          <w:i/>
          <w:sz w:val="22"/>
          <w:szCs w:val="22"/>
          <w:lang w:val="en-GB"/>
        </w:rPr>
        <w:t xml:space="preserve">Attn: </w:t>
      </w:r>
      <w:r w:rsidRPr="00F6710B">
        <w:rPr>
          <w:rFonts w:ascii="Times New Roman" w:hAnsi="Times New Roman"/>
          <w:i/>
          <w:sz w:val="22"/>
          <w:szCs w:val="22"/>
          <w:lang w:val="en-GB"/>
        </w:rPr>
        <w:t>Ms Snjezana Djukic</w:t>
      </w:r>
    </w:p>
    <w:p w:rsidR="00265D71" w:rsidRPr="00F6710B" w:rsidRDefault="00265D71" w:rsidP="00F6710B">
      <w:pPr>
        <w:ind w:left="709"/>
        <w:jc w:val="center"/>
        <w:rPr>
          <w:rFonts w:ascii="Times New Roman" w:hAnsi="Times New Roman"/>
          <w:i/>
          <w:sz w:val="22"/>
          <w:szCs w:val="22"/>
          <w:lang w:val="en-GB"/>
        </w:rPr>
      </w:pPr>
      <w:r w:rsidRPr="00F6710B">
        <w:rPr>
          <w:rFonts w:ascii="Times New Roman" w:hAnsi="Times New Roman"/>
          <w:b/>
          <w:bCs/>
          <w:i/>
          <w:sz w:val="22"/>
          <w:szCs w:val="22"/>
          <w:lang w:val="en-GB"/>
        </w:rPr>
        <w:t>e-mail:</w:t>
      </w:r>
      <w:r w:rsidRPr="00F6710B">
        <w:rPr>
          <w:rFonts w:ascii="Times New Roman" w:hAnsi="Times New Roman"/>
          <w:i/>
          <w:sz w:val="22"/>
          <w:szCs w:val="22"/>
          <w:lang w:val="en-GB"/>
        </w:rPr>
        <w:t xml:space="preserve"> snjezana.djukic@eeas.europa.eu</w:t>
      </w:r>
    </w:p>
    <w:p w:rsidR="00265D71" w:rsidRPr="00F6710B" w:rsidRDefault="00265D71" w:rsidP="00A04E6A">
      <w:pPr>
        <w:spacing w:beforeLines="1" w:afterLines="1"/>
        <w:ind w:left="709"/>
        <w:rPr>
          <w:rFonts w:ascii="Times New Roman" w:hAnsi="Times New Roman"/>
          <w:i/>
          <w:iCs/>
          <w:color w:val="000000"/>
          <w:sz w:val="22"/>
          <w:szCs w:val="22"/>
          <w:lang w:val="en-GB"/>
        </w:rPr>
      </w:pPr>
    </w:p>
    <w:p w:rsidR="00265D71" w:rsidRPr="00F466B7" w:rsidRDefault="00265D71" w:rsidP="005A287C">
      <w:pPr>
        <w:ind w:left="704"/>
        <w:rPr>
          <w:rFonts w:ascii="Times New Roman" w:hAnsi="Times New Roman"/>
          <w:sz w:val="22"/>
          <w:szCs w:val="22"/>
          <w:lang w:val="en-GB"/>
        </w:rPr>
      </w:pPr>
      <w:r w:rsidRPr="00F466B7">
        <w:rPr>
          <w:rFonts w:ascii="Times New Roman" w:hAnsi="Times New Roman"/>
          <w:sz w:val="22"/>
          <w:szCs w:val="22"/>
          <w:lang w:val="en-GB"/>
        </w:rPr>
        <w:t>(</w:t>
      </w:r>
      <w:r w:rsidRPr="00F466B7">
        <w:rPr>
          <w:rStyle w:val="grame"/>
          <w:rFonts w:ascii="Times New Roman" w:hAnsi="Times New Roman"/>
          <w:sz w:val="22"/>
          <w:szCs w:val="22"/>
          <w:lang w:val="en-GB"/>
        </w:rPr>
        <w:t>mentioning</w:t>
      </w:r>
      <w:r w:rsidRPr="00F466B7">
        <w:rPr>
          <w:rFonts w:ascii="Times New Roman" w:hAnsi="Times New Roman"/>
          <w:sz w:val="22"/>
          <w:szCs w:val="22"/>
          <w:lang w:val="en-GB"/>
        </w:rPr>
        <w:t xml:space="preserve"> the publication reference shown in item 1) at least 21 days before the deadline for submission of tenders given in item 19. The Contracting Authority must reply to all tenderers' questions at least 11 days before the deadline for submission of tenders. Eventual clarifications or minor changes to the tender dossier shall be published at the latest 11 days before the submission deadline on the </w:t>
      </w:r>
      <w:r w:rsidRPr="00F466B7">
        <w:rPr>
          <w:rStyle w:val="spelle"/>
          <w:rFonts w:ascii="Times New Roman" w:hAnsi="Times New Roman"/>
          <w:sz w:val="22"/>
          <w:szCs w:val="22"/>
          <w:lang w:val="en-GB"/>
        </w:rPr>
        <w:t>EuropeAid</w:t>
      </w:r>
      <w:r w:rsidRPr="00F466B7">
        <w:rPr>
          <w:rFonts w:ascii="Times New Roman" w:hAnsi="Times New Roman"/>
          <w:sz w:val="22"/>
          <w:szCs w:val="22"/>
          <w:lang w:val="en-GB"/>
        </w:rPr>
        <w:t xml:space="preserve"> website at </w:t>
      </w:r>
    </w:p>
    <w:p w:rsidR="00265D71" w:rsidRPr="00F466B7" w:rsidRDefault="00265D71" w:rsidP="00DB0566">
      <w:pPr>
        <w:ind w:left="284"/>
        <w:rPr>
          <w:rFonts w:ascii="Times New Roman" w:hAnsi="Times New Roman"/>
          <w:sz w:val="22"/>
          <w:szCs w:val="22"/>
          <w:lang w:val="en-GB"/>
        </w:rPr>
      </w:pPr>
    </w:p>
    <w:p w:rsidR="00265D71" w:rsidRPr="00F466B7" w:rsidRDefault="00265D71" w:rsidP="005A287C">
      <w:pPr>
        <w:ind w:left="284" w:firstLine="420"/>
        <w:rPr>
          <w:rFonts w:ascii="Times New Roman" w:hAnsi="Times New Roman"/>
          <w:sz w:val="22"/>
          <w:szCs w:val="22"/>
          <w:lang w:val="en-GB"/>
        </w:rPr>
      </w:pPr>
      <w:r w:rsidRPr="00F466B7">
        <w:rPr>
          <w:rFonts w:ascii="Times New Roman" w:hAnsi="Times New Roman"/>
          <w:color w:val="0026F9"/>
          <w:sz w:val="22"/>
          <w:szCs w:val="22"/>
          <w:lang w:val="en-GB"/>
        </w:rPr>
        <w:t>https://webgate.ec.europa.eu/europeaid/online-services/index.cfm?do=publi.welcome</w:t>
      </w:r>
    </w:p>
    <w:p w:rsidR="00265D71" w:rsidRPr="00F466B7" w:rsidRDefault="00265D71" w:rsidP="00D33451">
      <w:pPr>
        <w:ind w:left="360"/>
        <w:rPr>
          <w:rFonts w:ascii="Times New Roman" w:hAnsi="Times New Roman"/>
          <w:sz w:val="22"/>
          <w:szCs w:val="22"/>
          <w:lang w:val="en-GB"/>
        </w:rPr>
      </w:pPr>
    </w:p>
    <w:p w:rsidR="00265D71" w:rsidRDefault="00265D71" w:rsidP="00A04E6A">
      <w:pPr>
        <w:spacing w:beforeLines="1" w:afterLines="1"/>
        <w:ind w:left="709" w:hanging="425"/>
        <w:rPr>
          <w:rFonts w:ascii="Times New Roman" w:hAnsi="Times New Roman"/>
          <w:b/>
          <w:sz w:val="22"/>
          <w:szCs w:val="22"/>
          <w:lang w:val="en-GB" w:eastAsia="it-IT"/>
        </w:rPr>
      </w:pPr>
      <w:r w:rsidRPr="00F466B7">
        <w:rPr>
          <w:rFonts w:ascii="Times New Roman" w:hAnsi="Times New Roman"/>
          <w:b/>
          <w:sz w:val="22"/>
          <w:szCs w:val="22"/>
          <w:lang w:val="en-GB" w:eastAsia="it-IT"/>
        </w:rPr>
        <w:t>19.  Deadline for submission of tenders</w:t>
      </w:r>
    </w:p>
    <w:p w:rsidR="00265D71" w:rsidRPr="00F466B7" w:rsidRDefault="00265D71" w:rsidP="00A04E6A">
      <w:pPr>
        <w:spacing w:beforeLines="1" w:afterLines="1"/>
        <w:ind w:left="709" w:hanging="425"/>
        <w:rPr>
          <w:rFonts w:ascii="Times New Roman" w:hAnsi="Times New Roman"/>
          <w:b/>
          <w:sz w:val="22"/>
          <w:szCs w:val="22"/>
          <w:lang w:val="en-GB" w:eastAsia="it-IT"/>
        </w:rPr>
      </w:pPr>
    </w:p>
    <w:p w:rsidR="00265D71" w:rsidRPr="00F466B7"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r w:rsidRPr="00F466B7">
        <w:rPr>
          <w:rFonts w:ascii="Times New Roman" w:hAnsi="Times New Roman"/>
          <w:sz w:val="22"/>
          <w:szCs w:val="22"/>
          <w:lang w:val="en-GB" w:eastAsia="it-IT"/>
        </w:rPr>
        <w:tab/>
        <w:t xml:space="preserve">  </w:t>
      </w:r>
      <w:r w:rsidRPr="00F466B7">
        <w:rPr>
          <w:rFonts w:ascii="Times New Roman" w:hAnsi="Times New Roman"/>
          <w:color w:val="000000"/>
          <w:sz w:val="22"/>
          <w:szCs w:val="22"/>
          <w:lang w:val="en-GB"/>
        </w:rPr>
        <w:t>The deadline for submission of tender is on</w:t>
      </w:r>
      <w:r>
        <w:rPr>
          <w:rFonts w:ascii="Times New Roman" w:hAnsi="Times New Roman"/>
          <w:color w:val="000000"/>
          <w:sz w:val="22"/>
          <w:szCs w:val="22"/>
          <w:lang w:val="en-GB"/>
        </w:rPr>
        <w:t xml:space="preserve"> </w:t>
      </w:r>
      <w:r w:rsidRPr="00F6710B">
        <w:rPr>
          <w:rFonts w:ascii="Times New Roman" w:hAnsi="Times New Roman"/>
          <w:b/>
          <w:color w:val="000000"/>
          <w:sz w:val="22"/>
          <w:szCs w:val="22"/>
          <w:lang w:val="en-GB"/>
        </w:rPr>
        <w:t>16</w:t>
      </w:r>
      <w:r w:rsidRPr="00F6710B">
        <w:rPr>
          <w:rFonts w:ascii="Times New Roman" w:hAnsi="Times New Roman"/>
          <w:b/>
          <w:color w:val="000000"/>
          <w:sz w:val="22"/>
          <w:szCs w:val="22"/>
          <w:vertAlign w:val="superscript"/>
          <w:lang w:val="en-GB"/>
        </w:rPr>
        <w:t>th</w:t>
      </w:r>
      <w:r w:rsidRPr="00F6710B">
        <w:rPr>
          <w:rFonts w:ascii="Times New Roman" w:hAnsi="Times New Roman"/>
          <w:b/>
          <w:color w:val="000000"/>
          <w:sz w:val="22"/>
          <w:szCs w:val="22"/>
          <w:lang w:val="en-GB"/>
        </w:rPr>
        <w:t xml:space="preserve"> May 2011 at 12:00</w:t>
      </w:r>
      <w:r w:rsidRPr="00F466B7">
        <w:rPr>
          <w:rFonts w:ascii="Times New Roman" w:hAnsi="Times New Roman"/>
          <w:color w:val="000000"/>
          <w:sz w:val="22"/>
          <w:szCs w:val="22"/>
          <w:lang w:val="en-GB"/>
        </w:rPr>
        <w:t xml:space="preserve"> </w:t>
      </w:r>
      <w:r>
        <w:rPr>
          <w:rFonts w:ascii="Times New Roman" w:hAnsi="Times New Roman"/>
          <w:color w:val="000000"/>
          <w:sz w:val="22"/>
          <w:szCs w:val="22"/>
          <w:lang w:val="en-GB"/>
        </w:rPr>
        <w:t xml:space="preserve">– noon </w:t>
      </w:r>
      <w:r w:rsidRPr="00F466B7">
        <w:rPr>
          <w:rFonts w:ascii="Times New Roman" w:hAnsi="Times New Roman"/>
          <w:color w:val="000000"/>
          <w:sz w:val="22"/>
          <w:szCs w:val="22"/>
          <w:lang w:val="en-GB"/>
        </w:rPr>
        <w:t>(Belgrade local time)</w:t>
      </w:r>
    </w:p>
    <w:p w:rsidR="00265D71"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r w:rsidRPr="00F466B7">
        <w:rPr>
          <w:rFonts w:ascii="Times New Roman" w:hAnsi="Times New Roman"/>
          <w:color w:val="000000"/>
          <w:sz w:val="22"/>
          <w:szCs w:val="22"/>
          <w:lang w:val="en-GB"/>
        </w:rPr>
        <w:tab/>
        <w:t xml:space="preserve">  at the following address:</w:t>
      </w:r>
    </w:p>
    <w:p w:rsidR="00265D71" w:rsidRPr="00F466B7"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p>
    <w:p w:rsidR="00265D71" w:rsidRPr="00F466B7"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sz w:val="22"/>
          <w:szCs w:val="22"/>
          <w:lang w:val="en-GB"/>
        </w:rPr>
      </w:pPr>
      <w:r w:rsidRPr="00F466B7">
        <w:rPr>
          <w:rFonts w:ascii="Times New Roman" w:hAnsi="Times New Roman"/>
          <w:b/>
          <w:bCs/>
          <w:i/>
          <w:iCs/>
          <w:color w:val="000000"/>
          <w:sz w:val="22"/>
          <w:szCs w:val="22"/>
          <w:lang w:val="en-GB"/>
        </w:rPr>
        <w:tab/>
        <w:t xml:space="preserve">  Delegation of the European Union to the Republic of Serbia</w:t>
      </w:r>
    </w:p>
    <w:p w:rsidR="00265D71"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2"/>
          <w:szCs w:val="22"/>
          <w:lang w:val="en-GB"/>
        </w:rPr>
      </w:pPr>
      <w:r w:rsidRPr="00F466B7">
        <w:rPr>
          <w:rFonts w:ascii="Times New Roman" w:hAnsi="Times New Roman"/>
          <w:i/>
          <w:iCs/>
          <w:color w:val="000000"/>
          <w:sz w:val="22"/>
          <w:szCs w:val="22"/>
          <w:lang w:val="en-GB"/>
        </w:rPr>
        <w:tab/>
        <w:t xml:space="preserve">  GTC 19 Avenue Building, Vladimira Popovica 40, Belgrade 11070, Republic of Serbia</w:t>
      </w:r>
    </w:p>
    <w:p w:rsidR="00265D71" w:rsidRPr="00F466B7" w:rsidRDefault="00265D71" w:rsidP="0058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2"/>
          <w:szCs w:val="22"/>
          <w:lang w:val="en-GB"/>
        </w:rPr>
      </w:pPr>
    </w:p>
    <w:p w:rsidR="00265D71" w:rsidRPr="00F466B7" w:rsidRDefault="00265D71" w:rsidP="00A04E6A">
      <w:pPr>
        <w:spacing w:beforeLines="1" w:afterLines="1"/>
        <w:rPr>
          <w:rFonts w:ascii="Times New Roman" w:hAnsi="Times New Roman"/>
          <w:sz w:val="22"/>
          <w:szCs w:val="22"/>
          <w:lang w:val="en-GB" w:eastAsia="it-IT"/>
        </w:rPr>
      </w:pPr>
      <w:r>
        <w:rPr>
          <w:rFonts w:ascii="Times New Roman" w:hAnsi="Times New Roman"/>
          <w:color w:val="000000"/>
          <w:sz w:val="22"/>
          <w:szCs w:val="22"/>
          <w:lang w:val="en-GB"/>
        </w:rPr>
        <w:t xml:space="preserve">             </w:t>
      </w:r>
      <w:r w:rsidRPr="00F466B7">
        <w:rPr>
          <w:rFonts w:ascii="Times New Roman" w:hAnsi="Times New Roman"/>
          <w:color w:val="000000"/>
          <w:sz w:val="22"/>
          <w:szCs w:val="22"/>
          <w:lang w:val="en-GB"/>
        </w:rPr>
        <w:t>Any tender received after this deadline will not be considered.</w:t>
      </w:r>
    </w:p>
    <w:p w:rsidR="00265D71" w:rsidRPr="00F466B7" w:rsidRDefault="00265D71" w:rsidP="00A04E6A">
      <w:pPr>
        <w:spacing w:beforeLines="1" w:afterLines="1"/>
        <w:ind w:left="709"/>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b/>
          <w:sz w:val="22"/>
          <w:szCs w:val="22"/>
          <w:lang w:val="en-GB" w:eastAsia="it-IT"/>
        </w:rPr>
      </w:pPr>
      <w:r w:rsidRPr="00F466B7">
        <w:rPr>
          <w:rFonts w:ascii="Times New Roman" w:hAnsi="Times New Roman"/>
          <w:b/>
          <w:sz w:val="22"/>
          <w:szCs w:val="22"/>
          <w:lang w:val="en-GB" w:eastAsia="it-IT"/>
        </w:rPr>
        <w:t>20.  Tender opening session</w:t>
      </w:r>
    </w:p>
    <w:p w:rsidR="00265D71" w:rsidRPr="00F466B7" w:rsidRDefault="00265D71" w:rsidP="00CE3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lang w:val="en-GB"/>
        </w:rPr>
      </w:pPr>
      <w:r w:rsidRPr="00F466B7">
        <w:rPr>
          <w:rFonts w:ascii="Times New Roman" w:hAnsi="Times New Roman"/>
          <w:color w:val="000000"/>
          <w:sz w:val="22"/>
          <w:szCs w:val="22"/>
          <w:lang w:val="en-GB"/>
        </w:rPr>
        <w:tab/>
        <w:t xml:space="preserve">  The tender opening session is on </w:t>
      </w:r>
      <w:r w:rsidRPr="00F6710B">
        <w:rPr>
          <w:rFonts w:ascii="Times New Roman" w:hAnsi="Times New Roman"/>
          <w:b/>
          <w:color w:val="000000"/>
          <w:sz w:val="22"/>
          <w:szCs w:val="22"/>
          <w:lang w:val="en-GB"/>
        </w:rPr>
        <w:t>16</w:t>
      </w:r>
      <w:r w:rsidRPr="00F6710B">
        <w:rPr>
          <w:rFonts w:ascii="Times New Roman" w:hAnsi="Times New Roman"/>
          <w:b/>
          <w:color w:val="000000"/>
          <w:sz w:val="22"/>
          <w:szCs w:val="22"/>
          <w:vertAlign w:val="superscript"/>
          <w:lang w:val="en-GB"/>
        </w:rPr>
        <w:t>th</w:t>
      </w:r>
      <w:r w:rsidRPr="00F6710B">
        <w:rPr>
          <w:rFonts w:ascii="Times New Roman" w:hAnsi="Times New Roman"/>
          <w:b/>
          <w:color w:val="000000"/>
          <w:sz w:val="22"/>
          <w:szCs w:val="22"/>
          <w:lang w:val="en-GB"/>
        </w:rPr>
        <w:t xml:space="preserve"> May 2011 at </w:t>
      </w:r>
      <w:r>
        <w:rPr>
          <w:rFonts w:ascii="Times New Roman" w:hAnsi="Times New Roman"/>
          <w:b/>
          <w:color w:val="000000"/>
          <w:sz w:val="22"/>
          <w:szCs w:val="22"/>
          <w:lang w:val="en-GB"/>
        </w:rPr>
        <w:t>14:30</w:t>
      </w:r>
      <w:r w:rsidRPr="00F466B7">
        <w:rPr>
          <w:rFonts w:ascii="Times New Roman" w:hAnsi="Times New Roman"/>
          <w:color w:val="000000"/>
          <w:sz w:val="22"/>
          <w:szCs w:val="22"/>
          <w:lang w:val="en-GB"/>
        </w:rPr>
        <w:t xml:space="preserve"> </w:t>
      </w:r>
      <w:r>
        <w:rPr>
          <w:rFonts w:ascii="Times New Roman" w:hAnsi="Times New Roman"/>
          <w:color w:val="000000"/>
          <w:sz w:val="22"/>
          <w:szCs w:val="22"/>
          <w:lang w:val="en-GB"/>
        </w:rPr>
        <w:t>(Belgrade</w:t>
      </w:r>
      <w:r w:rsidRPr="00F466B7">
        <w:rPr>
          <w:rFonts w:ascii="Times New Roman" w:hAnsi="Times New Roman"/>
          <w:color w:val="000000"/>
          <w:sz w:val="22"/>
          <w:szCs w:val="22"/>
          <w:lang w:val="en-GB"/>
        </w:rPr>
        <w:t xml:space="preserve"> local time) at the</w:t>
      </w:r>
    </w:p>
    <w:p w:rsidR="00265D71" w:rsidRPr="00F466B7" w:rsidRDefault="00265D71" w:rsidP="00CE35B7">
      <w:pPr>
        <w:spacing w:beforeLines="1" w:afterLines="1"/>
        <w:ind w:left="709" w:hanging="425"/>
        <w:jc w:val="both"/>
        <w:rPr>
          <w:rFonts w:ascii="Times New Roman" w:hAnsi="Times New Roman"/>
          <w:color w:val="000000"/>
          <w:sz w:val="22"/>
          <w:szCs w:val="22"/>
          <w:lang w:val="en-GB"/>
        </w:rPr>
      </w:pPr>
      <w:r w:rsidRPr="00F466B7">
        <w:rPr>
          <w:rFonts w:ascii="Times New Roman" w:hAnsi="Times New Roman"/>
          <w:color w:val="000000"/>
          <w:sz w:val="22"/>
          <w:szCs w:val="22"/>
          <w:lang w:val="en-GB"/>
        </w:rPr>
        <w:t xml:space="preserve">       address indicated in item 19.</w:t>
      </w:r>
    </w:p>
    <w:p w:rsidR="00265D71" w:rsidRPr="00F466B7" w:rsidRDefault="00265D71" w:rsidP="00A04E6A">
      <w:pPr>
        <w:spacing w:beforeLines="1" w:afterLines="1"/>
        <w:ind w:left="709" w:hanging="425"/>
        <w:rPr>
          <w:rFonts w:ascii="Times New Roman" w:hAnsi="Times New Roman"/>
          <w:sz w:val="22"/>
          <w:szCs w:val="22"/>
          <w:lang w:val="en-GB" w:eastAsia="it-IT"/>
        </w:rPr>
      </w:pP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sz w:val="22"/>
          <w:szCs w:val="22"/>
          <w:lang w:val="en-GB" w:eastAsia="it-IT"/>
        </w:rPr>
      </w:pPr>
      <w:r w:rsidRPr="00F466B7">
        <w:rPr>
          <w:rFonts w:ascii="Times New Roman" w:hAnsi="Times New Roman"/>
          <w:b/>
          <w:sz w:val="22"/>
          <w:szCs w:val="22"/>
          <w:lang w:val="en-GB" w:eastAsia="it-IT"/>
        </w:rPr>
        <w:t>21.  Language of the procedure</w:t>
      </w:r>
    </w:p>
    <w:p w:rsidR="00265D71" w:rsidRPr="00F466B7" w:rsidRDefault="00265D71" w:rsidP="00A04E6A">
      <w:pPr>
        <w:spacing w:beforeLines="1" w:afterLines="1"/>
        <w:ind w:left="709"/>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All written communications for this tender procedure and contract must be in English. </w:t>
      </w:r>
    </w:p>
    <w:p w:rsidR="00265D71" w:rsidRPr="00F466B7" w:rsidRDefault="00265D71" w:rsidP="00A04E6A">
      <w:pPr>
        <w:spacing w:beforeLines="1" w:afterLines="1"/>
        <w:ind w:left="709"/>
        <w:jc w:val="both"/>
        <w:rPr>
          <w:rFonts w:ascii="Times New Roman" w:hAnsi="Times New Roman"/>
          <w:sz w:val="22"/>
          <w:szCs w:val="22"/>
          <w:lang w:val="en-GB" w:eastAsia="it-IT"/>
        </w:rPr>
      </w:pPr>
    </w:p>
    <w:p w:rsidR="00265D71" w:rsidRPr="00F466B7" w:rsidRDefault="00265D71" w:rsidP="00A04E6A">
      <w:pPr>
        <w:spacing w:beforeLines="1" w:afterLines="1"/>
        <w:ind w:left="709" w:hanging="425"/>
        <w:rPr>
          <w:rFonts w:ascii="Times New Roman" w:hAnsi="Times New Roman"/>
          <w:sz w:val="22"/>
          <w:szCs w:val="22"/>
          <w:lang w:val="en-GB" w:eastAsia="it-IT"/>
        </w:rPr>
      </w:pPr>
      <w:r w:rsidRPr="00F466B7">
        <w:rPr>
          <w:rFonts w:ascii="Times New Roman" w:hAnsi="Times New Roman"/>
          <w:b/>
          <w:sz w:val="22"/>
          <w:szCs w:val="22"/>
          <w:lang w:val="en-GB" w:eastAsia="it-IT"/>
        </w:rPr>
        <w:t>22.  Legal basis</w:t>
      </w:r>
    </w:p>
    <w:p w:rsidR="00265D71" w:rsidRPr="00F466B7" w:rsidRDefault="00265D71" w:rsidP="00A04E6A">
      <w:pPr>
        <w:spacing w:beforeLines="1" w:afterLines="1"/>
        <w:ind w:left="629"/>
        <w:jc w:val="both"/>
        <w:rPr>
          <w:rFonts w:ascii="Times New Roman" w:hAnsi="Times New Roman"/>
          <w:sz w:val="22"/>
          <w:szCs w:val="22"/>
          <w:lang w:val="en-GB" w:eastAsia="it-IT"/>
        </w:rPr>
      </w:pPr>
      <w:r w:rsidRPr="00F466B7">
        <w:rPr>
          <w:rFonts w:ascii="Times New Roman" w:hAnsi="Times New Roman"/>
          <w:sz w:val="22"/>
          <w:szCs w:val="22"/>
          <w:lang w:val="en-GB" w:eastAsia="it-IT"/>
        </w:rPr>
        <w:t xml:space="preserve"> Council regulation (EC) N° 1085/2006 of 17 July 2006 establishing an Instrument for</w:t>
      </w:r>
    </w:p>
    <w:p w:rsidR="00265D71" w:rsidRPr="00F466B7" w:rsidRDefault="00265D71" w:rsidP="00CE35B7">
      <w:pPr>
        <w:spacing w:beforeLines="1" w:afterLines="1"/>
        <w:ind w:left="629"/>
        <w:jc w:val="both"/>
        <w:rPr>
          <w:rFonts w:ascii="Times New Roman" w:hAnsi="Times New Roman"/>
          <w:sz w:val="22"/>
          <w:szCs w:val="22"/>
          <w:lang w:eastAsia="it-IT"/>
        </w:rPr>
      </w:pPr>
      <w:r w:rsidRPr="00F466B7">
        <w:rPr>
          <w:rFonts w:ascii="Times New Roman" w:hAnsi="Times New Roman"/>
          <w:sz w:val="22"/>
          <w:szCs w:val="22"/>
          <w:lang w:val="en-GB" w:eastAsia="it-IT"/>
        </w:rPr>
        <w:t xml:space="preserve"> </w:t>
      </w:r>
      <w:r w:rsidRPr="00F466B7">
        <w:rPr>
          <w:rFonts w:ascii="Times New Roman" w:hAnsi="Times New Roman"/>
          <w:sz w:val="22"/>
          <w:szCs w:val="22"/>
          <w:lang w:eastAsia="it-IT"/>
        </w:rPr>
        <w:t>Pre- Accession  Assistance  (IPA)</w:t>
      </w:r>
    </w:p>
    <w:p w:rsidR="00265D71" w:rsidRPr="00F466B7" w:rsidRDefault="00265D71" w:rsidP="00A04E6A">
      <w:pPr>
        <w:spacing w:beforeLines="1" w:afterLines="1"/>
        <w:ind w:left="709"/>
        <w:rPr>
          <w:rFonts w:ascii="Times New Roman" w:hAnsi="Times New Roman"/>
          <w:sz w:val="22"/>
          <w:szCs w:val="22"/>
          <w:lang w:eastAsia="it-IT"/>
        </w:rPr>
      </w:pPr>
    </w:p>
    <w:sectPr w:rsidR="00265D71" w:rsidRPr="00F466B7" w:rsidSect="006C403C">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71" w:rsidRDefault="00265D71" w:rsidP="00D0609F">
      <w:r>
        <w:separator/>
      </w:r>
    </w:p>
  </w:endnote>
  <w:endnote w:type="continuationSeparator" w:id="0">
    <w:p w:rsidR="00265D71" w:rsidRDefault="00265D71" w:rsidP="00D06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1" w:rsidRDefault="00265D71" w:rsidP="00F1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D71" w:rsidRDefault="00265D71" w:rsidP="008752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1" w:rsidRDefault="00265D71" w:rsidP="00F1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5D71" w:rsidRDefault="00265D71" w:rsidP="008752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71" w:rsidRDefault="00265D71" w:rsidP="00D0609F">
      <w:r>
        <w:separator/>
      </w:r>
    </w:p>
  </w:footnote>
  <w:footnote w:type="continuationSeparator" w:id="0">
    <w:p w:rsidR="00265D71" w:rsidRDefault="00265D71" w:rsidP="00D06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B13"/>
    <w:multiLevelType w:val="hybridMultilevel"/>
    <w:tmpl w:val="2ED4E854"/>
    <w:lvl w:ilvl="0" w:tplc="04100001">
      <w:start w:val="1"/>
      <w:numFmt w:val="bullet"/>
      <w:lvlText w:val=""/>
      <w:lvlJc w:val="left"/>
      <w:pPr>
        <w:ind w:left="1328" w:hanging="360"/>
      </w:pPr>
      <w:rPr>
        <w:rFonts w:ascii="Symbol" w:hAnsi="Symbol" w:hint="default"/>
      </w:rPr>
    </w:lvl>
    <w:lvl w:ilvl="1" w:tplc="04100003" w:tentative="1">
      <w:start w:val="1"/>
      <w:numFmt w:val="bullet"/>
      <w:lvlText w:val="o"/>
      <w:lvlJc w:val="left"/>
      <w:pPr>
        <w:ind w:left="2048" w:hanging="360"/>
      </w:pPr>
      <w:rPr>
        <w:rFonts w:ascii="Courier New" w:hAnsi="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1">
    <w:nsid w:val="083F1814"/>
    <w:multiLevelType w:val="hybridMultilevel"/>
    <w:tmpl w:val="52529558"/>
    <w:lvl w:ilvl="0" w:tplc="FEE2D4EE">
      <w:start w:val="1"/>
      <w:numFmt w:val="lowerLetter"/>
      <w:lvlText w:val="(%1)"/>
      <w:lvlJc w:val="left"/>
      <w:pPr>
        <w:ind w:left="1060" w:hanging="360"/>
      </w:pPr>
      <w:rPr>
        <w:rFonts w:cs="Times New Roman" w:hint="default"/>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2">
    <w:nsid w:val="10292804"/>
    <w:multiLevelType w:val="hybridMultilevel"/>
    <w:tmpl w:val="B9A810F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14192FBC"/>
    <w:multiLevelType w:val="hybridMultilevel"/>
    <w:tmpl w:val="17325616"/>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A23"/>
    <w:rsid w:val="0004270E"/>
    <w:rsid w:val="00052A23"/>
    <w:rsid w:val="00093DC5"/>
    <w:rsid w:val="000C1942"/>
    <w:rsid w:val="000C2190"/>
    <w:rsid w:val="000D19A3"/>
    <w:rsid w:val="000E1BCC"/>
    <w:rsid w:val="000F17C1"/>
    <w:rsid w:val="000F5063"/>
    <w:rsid w:val="00117B3B"/>
    <w:rsid w:val="00125AA6"/>
    <w:rsid w:val="00134327"/>
    <w:rsid w:val="00135730"/>
    <w:rsid w:val="001408A4"/>
    <w:rsid w:val="001609EE"/>
    <w:rsid w:val="00165D22"/>
    <w:rsid w:val="00176C5A"/>
    <w:rsid w:val="00193335"/>
    <w:rsid w:val="001A5A35"/>
    <w:rsid w:val="001B1325"/>
    <w:rsid w:val="001D5EFE"/>
    <w:rsid w:val="001E5105"/>
    <w:rsid w:val="00206B61"/>
    <w:rsid w:val="0025592D"/>
    <w:rsid w:val="00265D71"/>
    <w:rsid w:val="002A60C5"/>
    <w:rsid w:val="002B2C2A"/>
    <w:rsid w:val="002C6BD5"/>
    <w:rsid w:val="002C70D2"/>
    <w:rsid w:val="002D5B5C"/>
    <w:rsid w:val="002F4F44"/>
    <w:rsid w:val="00317766"/>
    <w:rsid w:val="0032197C"/>
    <w:rsid w:val="0033479C"/>
    <w:rsid w:val="00360118"/>
    <w:rsid w:val="003879B6"/>
    <w:rsid w:val="00395C45"/>
    <w:rsid w:val="003A0E3C"/>
    <w:rsid w:val="003E555C"/>
    <w:rsid w:val="00442DA6"/>
    <w:rsid w:val="00445987"/>
    <w:rsid w:val="00446FB4"/>
    <w:rsid w:val="00450C31"/>
    <w:rsid w:val="004845E0"/>
    <w:rsid w:val="00493C75"/>
    <w:rsid w:val="004A789D"/>
    <w:rsid w:val="004E5563"/>
    <w:rsid w:val="005024A0"/>
    <w:rsid w:val="00515CD6"/>
    <w:rsid w:val="005261D7"/>
    <w:rsid w:val="00533B7C"/>
    <w:rsid w:val="00550758"/>
    <w:rsid w:val="00554756"/>
    <w:rsid w:val="005553C7"/>
    <w:rsid w:val="00555467"/>
    <w:rsid w:val="005604D6"/>
    <w:rsid w:val="00580D04"/>
    <w:rsid w:val="005842BC"/>
    <w:rsid w:val="005A0C58"/>
    <w:rsid w:val="005A287C"/>
    <w:rsid w:val="005A3961"/>
    <w:rsid w:val="005D268D"/>
    <w:rsid w:val="005D5F26"/>
    <w:rsid w:val="005E203C"/>
    <w:rsid w:val="005E7B4D"/>
    <w:rsid w:val="0063713E"/>
    <w:rsid w:val="00640FF6"/>
    <w:rsid w:val="00653C10"/>
    <w:rsid w:val="006831D7"/>
    <w:rsid w:val="006C403C"/>
    <w:rsid w:val="006D4CF5"/>
    <w:rsid w:val="00700AE0"/>
    <w:rsid w:val="007053D8"/>
    <w:rsid w:val="00705D29"/>
    <w:rsid w:val="007060FC"/>
    <w:rsid w:val="00716B3C"/>
    <w:rsid w:val="00756974"/>
    <w:rsid w:val="00757E56"/>
    <w:rsid w:val="00765193"/>
    <w:rsid w:val="007B4FF7"/>
    <w:rsid w:val="007C0AE2"/>
    <w:rsid w:val="00810219"/>
    <w:rsid w:val="00840B91"/>
    <w:rsid w:val="008577E7"/>
    <w:rsid w:val="00864ADE"/>
    <w:rsid w:val="00875288"/>
    <w:rsid w:val="008A7E71"/>
    <w:rsid w:val="008C1752"/>
    <w:rsid w:val="009260A5"/>
    <w:rsid w:val="0099339F"/>
    <w:rsid w:val="009954E0"/>
    <w:rsid w:val="009A0D09"/>
    <w:rsid w:val="009A2E59"/>
    <w:rsid w:val="009A54ED"/>
    <w:rsid w:val="009A562A"/>
    <w:rsid w:val="009E104F"/>
    <w:rsid w:val="009F4B75"/>
    <w:rsid w:val="00A04E6A"/>
    <w:rsid w:val="00A135F8"/>
    <w:rsid w:val="00A16221"/>
    <w:rsid w:val="00A24943"/>
    <w:rsid w:val="00A52EED"/>
    <w:rsid w:val="00A65FCB"/>
    <w:rsid w:val="00A961FB"/>
    <w:rsid w:val="00A96C66"/>
    <w:rsid w:val="00AA5416"/>
    <w:rsid w:val="00AB2E02"/>
    <w:rsid w:val="00AF5013"/>
    <w:rsid w:val="00B11B5C"/>
    <w:rsid w:val="00B229C8"/>
    <w:rsid w:val="00B240AA"/>
    <w:rsid w:val="00B27201"/>
    <w:rsid w:val="00BB4E06"/>
    <w:rsid w:val="00BB5C4E"/>
    <w:rsid w:val="00BC0508"/>
    <w:rsid w:val="00BC3DCC"/>
    <w:rsid w:val="00BC76C7"/>
    <w:rsid w:val="00C41794"/>
    <w:rsid w:val="00C47DF2"/>
    <w:rsid w:val="00C47E85"/>
    <w:rsid w:val="00C51724"/>
    <w:rsid w:val="00C61706"/>
    <w:rsid w:val="00C62000"/>
    <w:rsid w:val="00C7470D"/>
    <w:rsid w:val="00CA3CB5"/>
    <w:rsid w:val="00CA434C"/>
    <w:rsid w:val="00CC6B43"/>
    <w:rsid w:val="00CD67DF"/>
    <w:rsid w:val="00CE35B7"/>
    <w:rsid w:val="00CF130E"/>
    <w:rsid w:val="00CF5538"/>
    <w:rsid w:val="00D01DA2"/>
    <w:rsid w:val="00D034CF"/>
    <w:rsid w:val="00D0609F"/>
    <w:rsid w:val="00D33451"/>
    <w:rsid w:val="00DA44AC"/>
    <w:rsid w:val="00DB0566"/>
    <w:rsid w:val="00DC3DB0"/>
    <w:rsid w:val="00DC58EE"/>
    <w:rsid w:val="00DF6F78"/>
    <w:rsid w:val="00DF743D"/>
    <w:rsid w:val="00E10B1A"/>
    <w:rsid w:val="00E54871"/>
    <w:rsid w:val="00E6095B"/>
    <w:rsid w:val="00E6468D"/>
    <w:rsid w:val="00E77298"/>
    <w:rsid w:val="00E80E43"/>
    <w:rsid w:val="00E80F7A"/>
    <w:rsid w:val="00EA7DF0"/>
    <w:rsid w:val="00EC792A"/>
    <w:rsid w:val="00EE01A2"/>
    <w:rsid w:val="00EF65A2"/>
    <w:rsid w:val="00F03F3F"/>
    <w:rsid w:val="00F14D35"/>
    <w:rsid w:val="00F1716F"/>
    <w:rsid w:val="00F44AAF"/>
    <w:rsid w:val="00F466B7"/>
    <w:rsid w:val="00F60AA7"/>
    <w:rsid w:val="00F621F0"/>
    <w:rsid w:val="00F63FC2"/>
    <w:rsid w:val="00F6710B"/>
    <w:rsid w:val="00FA168E"/>
    <w:rsid w:val="00FC17CA"/>
    <w:rsid w:val="00FD480A"/>
    <w:rsid w:val="00FE40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9F"/>
    <w:rPr>
      <w:sz w:val="24"/>
      <w:szCs w:val="24"/>
      <w:lang w:val="it-IT"/>
    </w:rPr>
  </w:style>
  <w:style w:type="paragraph" w:styleId="Heading4">
    <w:name w:val="heading 4"/>
    <w:basedOn w:val="Normal"/>
    <w:next w:val="Normal"/>
    <w:link w:val="Heading4Char"/>
    <w:uiPriority w:val="99"/>
    <w:qFormat/>
    <w:locked/>
    <w:rsid w:val="00F6710B"/>
    <w:pPr>
      <w:keepNext/>
      <w:spacing w:before="240" w:after="60"/>
      <w:outlineLvl w:val="3"/>
    </w:pPr>
    <w:rPr>
      <w:rFonts w:ascii="Times New Roman" w:hAnsi="Times New Roman"/>
      <w:b/>
      <w:bCs/>
      <w:sz w:val="28"/>
      <w:szCs w:val="2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90568"/>
    <w:rPr>
      <w:rFonts w:asciiTheme="minorHAnsi" w:eastAsiaTheme="minorEastAsia" w:hAnsiTheme="minorHAnsi" w:cstheme="minorBidi"/>
      <w:b/>
      <w:bCs/>
      <w:sz w:val="28"/>
      <w:szCs w:val="28"/>
      <w:lang w:val="it-IT"/>
    </w:rPr>
  </w:style>
  <w:style w:type="character" w:styleId="Strong">
    <w:name w:val="Strong"/>
    <w:basedOn w:val="DefaultParagraphFont"/>
    <w:uiPriority w:val="99"/>
    <w:qFormat/>
    <w:rsid w:val="00A96C66"/>
    <w:rPr>
      <w:rFonts w:cs="Times New Roman"/>
      <w:b/>
    </w:rPr>
  </w:style>
  <w:style w:type="paragraph" w:customStyle="1" w:styleId="blockquote">
    <w:name w:val="blockquote"/>
    <w:basedOn w:val="Normal"/>
    <w:uiPriority w:val="99"/>
    <w:rsid w:val="00A96C66"/>
    <w:pPr>
      <w:spacing w:beforeLines="1" w:afterLines="1"/>
    </w:pPr>
    <w:rPr>
      <w:rFonts w:ascii="Times" w:hAnsi="Times"/>
      <w:sz w:val="20"/>
      <w:szCs w:val="20"/>
      <w:lang w:eastAsia="it-IT"/>
    </w:rPr>
  </w:style>
  <w:style w:type="character" w:customStyle="1" w:styleId="grame">
    <w:name w:val="grame"/>
    <w:basedOn w:val="DefaultParagraphFont"/>
    <w:uiPriority w:val="99"/>
    <w:rsid w:val="00442DA6"/>
    <w:rPr>
      <w:rFonts w:cs="Times New Roman"/>
    </w:rPr>
  </w:style>
  <w:style w:type="paragraph" w:styleId="Footer">
    <w:name w:val="footer"/>
    <w:basedOn w:val="Normal"/>
    <w:link w:val="FooterChar"/>
    <w:uiPriority w:val="99"/>
    <w:semiHidden/>
    <w:rsid w:val="00875288"/>
    <w:pPr>
      <w:tabs>
        <w:tab w:val="center" w:pos="4819"/>
        <w:tab w:val="right" w:pos="9638"/>
      </w:tabs>
    </w:pPr>
  </w:style>
  <w:style w:type="character" w:customStyle="1" w:styleId="FooterChar">
    <w:name w:val="Footer Char"/>
    <w:basedOn w:val="DefaultParagraphFont"/>
    <w:link w:val="Footer"/>
    <w:uiPriority w:val="99"/>
    <w:semiHidden/>
    <w:locked/>
    <w:rsid w:val="00875288"/>
    <w:rPr>
      <w:rFonts w:cs="Times New Roman"/>
    </w:rPr>
  </w:style>
  <w:style w:type="character" w:styleId="PageNumber">
    <w:name w:val="page number"/>
    <w:basedOn w:val="DefaultParagraphFont"/>
    <w:uiPriority w:val="99"/>
    <w:semiHidden/>
    <w:rsid w:val="00875288"/>
    <w:rPr>
      <w:rFonts w:cs="Times New Roman"/>
    </w:rPr>
  </w:style>
  <w:style w:type="character" w:styleId="Hyperlink">
    <w:name w:val="Hyperlink"/>
    <w:basedOn w:val="DefaultParagraphFont"/>
    <w:uiPriority w:val="99"/>
    <w:rsid w:val="009E104F"/>
    <w:rPr>
      <w:rFonts w:cs="Times New Roman"/>
      <w:color w:val="0000FF"/>
      <w:u w:val="single"/>
    </w:rPr>
  </w:style>
  <w:style w:type="character" w:customStyle="1" w:styleId="spelle">
    <w:name w:val="spelle"/>
    <w:basedOn w:val="DefaultParagraphFont"/>
    <w:uiPriority w:val="99"/>
    <w:rsid w:val="009E104F"/>
    <w:rPr>
      <w:rFonts w:cs="Times New Roman"/>
    </w:rPr>
  </w:style>
  <w:style w:type="character" w:styleId="Emphasis">
    <w:name w:val="Emphasis"/>
    <w:basedOn w:val="DefaultParagraphFont"/>
    <w:uiPriority w:val="99"/>
    <w:qFormat/>
    <w:rsid w:val="00E80E43"/>
    <w:rPr>
      <w:rFonts w:cs="Times New Roman"/>
      <w:i/>
    </w:rPr>
  </w:style>
  <w:style w:type="paragraph" w:styleId="ListParagraph">
    <w:name w:val="List Paragraph"/>
    <w:basedOn w:val="Normal"/>
    <w:uiPriority w:val="99"/>
    <w:qFormat/>
    <w:rsid w:val="002C6BD5"/>
    <w:pPr>
      <w:ind w:left="720"/>
      <w:contextualSpacing/>
    </w:pPr>
  </w:style>
  <w:style w:type="paragraph" w:customStyle="1" w:styleId="Char1CharCharChar">
    <w:name w:val="Char1 Char Char Char"/>
    <w:basedOn w:val="Normal"/>
    <w:uiPriority w:val="99"/>
    <w:rsid w:val="00F6710B"/>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00290592">
      <w:marLeft w:val="0"/>
      <w:marRight w:val="0"/>
      <w:marTop w:val="0"/>
      <w:marBottom w:val="0"/>
      <w:divBdr>
        <w:top w:val="none" w:sz="0" w:space="0" w:color="auto"/>
        <w:left w:val="none" w:sz="0" w:space="0" w:color="auto"/>
        <w:bottom w:val="none" w:sz="0" w:space="0" w:color="auto"/>
        <w:right w:val="none" w:sz="0" w:space="0" w:color="auto"/>
      </w:divBdr>
    </w:div>
    <w:div w:id="200290593">
      <w:marLeft w:val="0"/>
      <w:marRight w:val="0"/>
      <w:marTop w:val="0"/>
      <w:marBottom w:val="0"/>
      <w:divBdr>
        <w:top w:val="none" w:sz="0" w:space="0" w:color="auto"/>
        <w:left w:val="none" w:sz="0" w:space="0" w:color="auto"/>
        <w:bottom w:val="none" w:sz="0" w:space="0" w:color="auto"/>
        <w:right w:val="none" w:sz="0" w:space="0" w:color="auto"/>
      </w:divBdr>
    </w:div>
    <w:div w:id="200290594">
      <w:marLeft w:val="0"/>
      <w:marRight w:val="0"/>
      <w:marTop w:val="0"/>
      <w:marBottom w:val="0"/>
      <w:divBdr>
        <w:top w:val="none" w:sz="0" w:space="0" w:color="auto"/>
        <w:left w:val="none" w:sz="0" w:space="0" w:color="auto"/>
        <w:bottom w:val="none" w:sz="0" w:space="0" w:color="auto"/>
        <w:right w:val="none" w:sz="0" w:space="0" w:color="auto"/>
      </w:divBdr>
    </w:div>
    <w:div w:id="200290595">
      <w:marLeft w:val="0"/>
      <w:marRight w:val="0"/>
      <w:marTop w:val="0"/>
      <w:marBottom w:val="0"/>
      <w:divBdr>
        <w:top w:val="none" w:sz="0" w:space="0" w:color="auto"/>
        <w:left w:val="none" w:sz="0" w:space="0" w:color="auto"/>
        <w:bottom w:val="none" w:sz="0" w:space="0" w:color="auto"/>
        <w:right w:val="none" w:sz="0" w:space="0" w:color="auto"/>
      </w:divBdr>
    </w:div>
    <w:div w:id="200290596">
      <w:marLeft w:val="0"/>
      <w:marRight w:val="0"/>
      <w:marTop w:val="0"/>
      <w:marBottom w:val="0"/>
      <w:divBdr>
        <w:top w:val="none" w:sz="0" w:space="0" w:color="auto"/>
        <w:left w:val="none" w:sz="0" w:space="0" w:color="auto"/>
        <w:bottom w:val="none" w:sz="0" w:space="0" w:color="auto"/>
        <w:right w:val="none" w:sz="0" w:space="0" w:color="auto"/>
      </w:divBdr>
    </w:div>
    <w:div w:id="200290597">
      <w:marLeft w:val="0"/>
      <w:marRight w:val="0"/>
      <w:marTop w:val="0"/>
      <w:marBottom w:val="0"/>
      <w:divBdr>
        <w:top w:val="none" w:sz="0" w:space="0" w:color="auto"/>
        <w:left w:val="none" w:sz="0" w:space="0" w:color="auto"/>
        <w:bottom w:val="none" w:sz="0" w:space="0" w:color="auto"/>
        <w:right w:val="none" w:sz="0" w:space="0" w:color="auto"/>
      </w:divBdr>
    </w:div>
    <w:div w:id="200290598">
      <w:marLeft w:val="0"/>
      <w:marRight w:val="0"/>
      <w:marTop w:val="0"/>
      <w:marBottom w:val="0"/>
      <w:divBdr>
        <w:top w:val="none" w:sz="0" w:space="0" w:color="auto"/>
        <w:left w:val="none" w:sz="0" w:space="0" w:color="auto"/>
        <w:bottom w:val="none" w:sz="0" w:space="0" w:color="auto"/>
        <w:right w:val="none" w:sz="0" w:space="0" w:color="auto"/>
      </w:divBdr>
    </w:div>
    <w:div w:id="200290599">
      <w:marLeft w:val="0"/>
      <w:marRight w:val="0"/>
      <w:marTop w:val="0"/>
      <w:marBottom w:val="0"/>
      <w:divBdr>
        <w:top w:val="none" w:sz="0" w:space="0" w:color="auto"/>
        <w:left w:val="none" w:sz="0" w:space="0" w:color="auto"/>
        <w:bottom w:val="none" w:sz="0" w:space="0" w:color="auto"/>
        <w:right w:val="none" w:sz="0" w:space="0" w:color="auto"/>
      </w:divBdr>
    </w:div>
    <w:div w:id="200290600">
      <w:marLeft w:val="0"/>
      <w:marRight w:val="0"/>
      <w:marTop w:val="0"/>
      <w:marBottom w:val="0"/>
      <w:divBdr>
        <w:top w:val="none" w:sz="0" w:space="0" w:color="auto"/>
        <w:left w:val="none" w:sz="0" w:space="0" w:color="auto"/>
        <w:bottom w:val="none" w:sz="0" w:space="0" w:color="auto"/>
        <w:right w:val="none" w:sz="0" w:space="0" w:color="auto"/>
      </w:divBdr>
    </w:div>
    <w:div w:id="200290601">
      <w:marLeft w:val="0"/>
      <w:marRight w:val="0"/>
      <w:marTop w:val="0"/>
      <w:marBottom w:val="0"/>
      <w:divBdr>
        <w:top w:val="none" w:sz="0" w:space="0" w:color="auto"/>
        <w:left w:val="none" w:sz="0" w:space="0" w:color="auto"/>
        <w:bottom w:val="none" w:sz="0" w:space="0" w:color="auto"/>
        <w:right w:val="none" w:sz="0" w:space="0" w:color="auto"/>
      </w:divBdr>
    </w:div>
    <w:div w:id="200290602">
      <w:marLeft w:val="0"/>
      <w:marRight w:val="0"/>
      <w:marTop w:val="0"/>
      <w:marBottom w:val="0"/>
      <w:divBdr>
        <w:top w:val="none" w:sz="0" w:space="0" w:color="auto"/>
        <w:left w:val="none" w:sz="0" w:space="0" w:color="auto"/>
        <w:bottom w:val="none" w:sz="0" w:space="0" w:color="auto"/>
        <w:right w:val="none" w:sz="0" w:space="0" w:color="auto"/>
      </w:divBdr>
    </w:div>
    <w:div w:id="200290603">
      <w:marLeft w:val="0"/>
      <w:marRight w:val="0"/>
      <w:marTop w:val="0"/>
      <w:marBottom w:val="0"/>
      <w:divBdr>
        <w:top w:val="none" w:sz="0" w:space="0" w:color="auto"/>
        <w:left w:val="none" w:sz="0" w:space="0" w:color="auto"/>
        <w:bottom w:val="none" w:sz="0" w:space="0" w:color="auto"/>
        <w:right w:val="none" w:sz="0" w:space="0" w:color="auto"/>
      </w:divBdr>
    </w:div>
    <w:div w:id="200290604">
      <w:marLeft w:val="0"/>
      <w:marRight w:val="0"/>
      <w:marTop w:val="0"/>
      <w:marBottom w:val="0"/>
      <w:divBdr>
        <w:top w:val="none" w:sz="0" w:space="0" w:color="auto"/>
        <w:left w:val="none" w:sz="0" w:space="0" w:color="auto"/>
        <w:bottom w:val="none" w:sz="0" w:space="0" w:color="auto"/>
        <w:right w:val="none" w:sz="0" w:space="0" w:color="auto"/>
      </w:divBdr>
    </w:div>
    <w:div w:id="200290605">
      <w:marLeft w:val="0"/>
      <w:marRight w:val="0"/>
      <w:marTop w:val="0"/>
      <w:marBottom w:val="0"/>
      <w:divBdr>
        <w:top w:val="none" w:sz="0" w:space="0" w:color="auto"/>
        <w:left w:val="none" w:sz="0" w:space="0" w:color="auto"/>
        <w:bottom w:val="none" w:sz="0" w:space="0" w:color="auto"/>
        <w:right w:val="none" w:sz="0" w:space="0" w:color="auto"/>
      </w:divBdr>
    </w:div>
    <w:div w:id="200290606">
      <w:marLeft w:val="0"/>
      <w:marRight w:val="0"/>
      <w:marTop w:val="0"/>
      <w:marBottom w:val="0"/>
      <w:divBdr>
        <w:top w:val="none" w:sz="0" w:space="0" w:color="auto"/>
        <w:left w:val="none" w:sz="0" w:space="0" w:color="auto"/>
        <w:bottom w:val="none" w:sz="0" w:space="0" w:color="auto"/>
        <w:right w:val="none" w:sz="0" w:space="0" w:color="auto"/>
      </w:divBdr>
    </w:div>
    <w:div w:id="200290607">
      <w:marLeft w:val="0"/>
      <w:marRight w:val="0"/>
      <w:marTop w:val="0"/>
      <w:marBottom w:val="0"/>
      <w:divBdr>
        <w:top w:val="none" w:sz="0" w:space="0" w:color="auto"/>
        <w:left w:val="none" w:sz="0" w:space="0" w:color="auto"/>
        <w:bottom w:val="none" w:sz="0" w:space="0" w:color="auto"/>
        <w:right w:val="none" w:sz="0" w:space="0" w:color="auto"/>
      </w:divBdr>
    </w:div>
    <w:div w:id="200290608">
      <w:marLeft w:val="0"/>
      <w:marRight w:val="0"/>
      <w:marTop w:val="0"/>
      <w:marBottom w:val="0"/>
      <w:divBdr>
        <w:top w:val="none" w:sz="0" w:space="0" w:color="auto"/>
        <w:left w:val="none" w:sz="0" w:space="0" w:color="auto"/>
        <w:bottom w:val="none" w:sz="0" w:space="0" w:color="auto"/>
        <w:right w:val="none" w:sz="0" w:space="0" w:color="auto"/>
      </w:divBdr>
    </w:div>
    <w:div w:id="2002906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uropeaid/online-services/index.cfm?do=publi.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4</Pages>
  <Words>1485</Words>
  <Characters>8470</Characters>
  <Application>Microsoft Office Outlook</Application>
  <DocSecurity>0</DocSecurity>
  <Lines>0</Lines>
  <Paragraphs>0</Paragraphs>
  <ScaleCrop>false</ScaleCrop>
  <Company>Gnudos Research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McCann</dc:creator>
  <cp:keywords/>
  <dc:description/>
  <cp:lastModifiedBy>manicve</cp:lastModifiedBy>
  <cp:revision>39</cp:revision>
  <dcterms:created xsi:type="dcterms:W3CDTF">2011-01-23T20:32:00Z</dcterms:created>
  <dcterms:modified xsi:type="dcterms:W3CDTF">2011-03-02T15:34:00Z</dcterms:modified>
</cp:coreProperties>
</file>