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DD0733">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ADVERTISEMENT</w:t>
      </w:r>
    </w:p>
    <w:p w:rsidR="0047135C" w:rsidRPr="002700C9" w:rsidRDefault="002700C9" w:rsidP="002700C9">
      <w:pPr>
        <w:tabs>
          <w:tab w:val="num" w:pos="1620"/>
          <w:tab w:val="left" w:pos="9540"/>
        </w:tabs>
        <w:spacing w:after="120" w:line="240" w:lineRule="auto"/>
        <w:jc w:val="center"/>
        <w:rPr>
          <w:rFonts w:ascii="Calibri" w:eastAsia="Times New Roman" w:hAnsi="Calibri" w:cs="Calibri"/>
          <w:szCs w:val="24"/>
        </w:rPr>
      </w:pPr>
      <w:r>
        <w:rPr>
          <w:rFonts w:ascii="Calibri" w:eastAsia="Times New Roman" w:hAnsi="Calibri" w:cs="Calibri"/>
          <w:szCs w:val="24"/>
        </w:rPr>
        <w:t xml:space="preserve">Ad no 8/ </w:t>
      </w:r>
      <w:proofErr w:type="spellStart"/>
      <w:r>
        <w:rPr>
          <w:rFonts w:ascii="Calibri" w:eastAsia="Times New Roman" w:hAnsi="Calibri" w:cs="Calibri"/>
          <w:szCs w:val="24"/>
        </w:rPr>
        <w:t>ToR</w:t>
      </w:r>
      <w:proofErr w:type="spellEnd"/>
      <w:r>
        <w:rPr>
          <w:rFonts w:ascii="Calibri" w:eastAsia="Times New Roman" w:hAnsi="Calibri" w:cs="Calibri"/>
          <w:szCs w:val="24"/>
        </w:rPr>
        <w:t xml:space="preserve"> 10 </w:t>
      </w:r>
      <w:r w:rsidRPr="002700C9">
        <w:rPr>
          <w:rFonts w:ascii="Calibri" w:eastAsia="Times New Roman" w:hAnsi="Calibri" w:cs="Calibri"/>
          <w:szCs w:val="24"/>
        </w:rPr>
        <w:t>Junior Non-Key Expert for Inclusive education</w:t>
      </w:r>
    </w:p>
    <w:p w:rsidR="00B44380" w:rsidRDefault="00B44380"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508E6">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508E6">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508E6">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508E6">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t>Main tasks and duties:</w:t>
      </w:r>
    </w:p>
    <w:p w:rsidR="002700C9" w:rsidRDefault="002700C9" w:rsidP="00B44380">
      <w:pPr>
        <w:spacing w:after="120" w:line="240" w:lineRule="auto"/>
        <w:jc w:val="both"/>
        <w:rPr>
          <w:rFonts w:ascii="Calibri" w:eastAsia="Times New Roman" w:hAnsi="Calibri" w:cs="Calibri"/>
          <w:szCs w:val="24"/>
        </w:rPr>
      </w:pPr>
    </w:p>
    <w:p w:rsidR="00B44380" w:rsidRPr="00B44380" w:rsidRDefault="002700C9" w:rsidP="00B44380">
      <w:pPr>
        <w:spacing w:after="120" w:line="240" w:lineRule="auto"/>
        <w:jc w:val="both"/>
        <w:rPr>
          <w:rFonts w:ascii="Calibri" w:eastAsia="Times New Roman" w:hAnsi="Calibri" w:cs="Calibri"/>
          <w:szCs w:val="24"/>
        </w:rPr>
      </w:pPr>
      <w:r w:rsidRPr="002700C9">
        <w:rPr>
          <w:rFonts w:ascii="Calibri" w:eastAsia="Times New Roman" w:hAnsi="Calibri" w:cs="Calibri"/>
          <w:szCs w:val="24"/>
        </w:rPr>
        <w:t>The Junior Non-Key Expert will work closely with the Project team, SNKE 5a, and support the Team Leader in the activities and outcomes listed in the table below</w:t>
      </w:r>
    </w:p>
    <w:p w:rsidR="00B44380" w:rsidRDefault="00B44380" w:rsidP="00B44380">
      <w:pPr>
        <w:spacing w:after="120" w:line="240" w:lineRule="auto"/>
        <w:rPr>
          <w:rFonts w:ascii="Calibri" w:eastAsia="Times New Roman" w:hAnsi="Calibri" w:cs="Calibri"/>
          <w:szCs w:val="24"/>
          <w:highlight w:val="lightGray"/>
        </w:rPr>
      </w:pPr>
    </w:p>
    <w:tbl>
      <w:tblPr>
        <w:tblpPr w:leftFromText="180" w:rightFromText="180" w:vertAnchor="text" w:horzAnchor="margin" w:tblpX="-458" w:tblpYSpec="outside"/>
        <w:tblW w:w="9900" w:type="dxa"/>
        <w:tblLayout w:type="fixed"/>
        <w:tblLook w:val="0000" w:firstRow="0" w:lastRow="0" w:firstColumn="0" w:lastColumn="0" w:noHBand="0" w:noVBand="0"/>
      </w:tblPr>
      <w:tblGrid>
        <w:gridCol w:w="720"/>
        <w:gridCol w:w="1170"/>
        <w:gridCol w:w="3600"/>
        <w:gridCol w:w="1170"/>
        <w:gridCol w:w="3240"/>
      </w:tblGrid>
      <w:tr w:rsidR="002700C9" w:rsidRPr="002700C9" w:rsidTr="002700C9">
        <w:trPr>
          <w:trHeight w:val="1124"/>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b/>
                <w:bCs/>
                <w:szCs w:val="24"/>
                <w:lang w:val="en-US"/>
              </w:rPr>
            </w:pPr>
            <w:r w:rsidRPr="002700C9">
              <w:rPr>
                <w:rFonts w:ascii="Calibri" w:eastAsia="Times New Roman" w:hAnsi="Calibri" w:cs="Calibri"/>
                <w:b/>
                <w:bCs/>
                <w:szCs w:val="24"/>
                <w:lang w:val="en-US"/>
              </w:rPr>
              <w:lastRenderedPageBreak/>
              <w:t xml:space="preserve">Activity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b/>
                <w:bCs/>
                <w:szCs w:val="24"/>
                <w:lang w:val="en-US"/>
              </w:rPr>
              <w:t>Sub- Activity</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rPr>
                <w:rFonts w:ascii="Calibri" w:eastAsia="Times New Roman" w:hAnsi="Calibri" w:cs="Calibri"/>
                <w:b/>
                <w:bCs/>
                <w:szCs w:val="24"/>
                <w:lang w:val="en-US"/>
              </w:rPr>
            </w:pPr>
            <w:r w:rsidRPr="002700C9">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u w:val="single"/>
                <w:lang w:val="en-US"/>
              </w:rPr>
            </w:pPr>
            <w:r w:rsidRPr="002700C9">
              <w:rPr>
                <w:rFonts w:ascii="Calibri" w:eastAsia="Times New Roman" w:hAnsi="Calibri" w:cs="Calibri"/>
                <w:b/>
                <w:bCs/>
                <w:szCs w:val="24"/>
                <w:lang w:val="en-US"/>
              </w:rPr>
              <w:t xml:space="preserve">Indicative input: </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b/>
                <w:bCs/>
                <w:szCs w:val="24"/>
                <w:lang w:val="en-US"/>
              </w:rPr>
            </w:pPr>
            <w:r w:rsidRPr="002700C9">
              <w:rPr>
                <w:rFonts w:ascii="Calibri" w:eastAsia="Times New Roman" w:hAnsi="Calibri" w:cs="Calibri"/>
                <w:b/>
                <w:bCs/>
                <w:szCs w:val="24"/>
                <w:lang w:val="en-US"/>
              </w:rPr>
              <w:t>Expected deliverables:</w:t>
            </w:r>
          </w:p>
        </w:tc>
      </w:tr>
      <w:tr w:rsidR="002700C9" w:rsidRPr="002700C9" w:rsidTr="002700C9">
        <w:trPr>
          <w:trHeight w:val="1124"/>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b/>
                <w:bCs/>
                <w:szCs w:val="24"/>
                <w:lang w:val="en-US"/>
              </w:rPr>
            </w:pPr>
            <w:r w:rsidRPr="002700C9">
              <w:rPr>
                <w:rFonts w:ascii="Calibri" w:eastAsia="Times New Roman" w:hAnsi="Calibri" w:cs="Calibri"/>
                <w:b/>
                <w:bCs/>
                <w:szCs w:val="24"/>
                <w:lang w:val="en-US"/>
              </w:rPr>
              <w:t>2.6.1</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b/>
                <w:bCs/>
                <w:szCs w:val="24"/>
                <w:lang w:val="en-US"/>
              </w:rPr>
            </w:pPr>
            <w:r w:rsidRPr="002700C9">
              <w:rPr>
                <w:rFonts w:ascii="Calibri" w:eastAsia="Times New Roman" w:hAnsi="Calibri" w:cs="Calibri"/>
                <w:b/>
                <w:bCs/>
                <w:szCs w:val="24"/>
                <w:lang w:val="en-US"/>
              </w:rPr>
              <w:t>/</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numPr>
                <w:ilvl w:val="0"/>
                <w:numId w:val="1"/>
              </w:numPr>
              <w:autoSpaceDE w:val="0"/>
              <w:autoSpaceDN w:val="0"/>
              <w:adjustRightInd w:val="0"/>
              <w:spacing w:after="120"/>
              <w:ind w:left="430"/>
              <w:contextualSpacing/>
              <w:rPr>
                <w:rFonts w:ascii="Calibri" w:eastAsia="Times New Roman" w:hAnsi="Calibri" w:cs="Calibri"/>
              </w:rPr>
            </w:pPr>
            <w:r w:rsidRPr="002700C9">
              <w:rPr>
                <w:rFonts w:ascii="Calibri" w:eastAsia="Times New Roman" w:hAnsi="Calibri" w:cs="Calibri"/>
              </w:rPr>
              <w:t>Organisation and implementation of consultative meetings with Roma parents</w:t>
            </w:r>
          </w:p>
          <w:p w:rsidR="002700C9" w:rsidRPr="002700C9" w:rsidRDefault="002700C9" w:rsidP="002700C9">
            <w:pPr>
              <w:autoSpaceDE w:val="0"/>
              <w:autoSpaceDN w:val="0"/>
              <w:adjustRightInd w:val="0"/>
              <w:spacing w:after="120"/>
              <w:ind w:left="70"/>
              <w:contextualSpacing/>
              <w:rPr>
                <w:rFonts w:ascii="Calibri" w:eastAsia="Times New Roman" w:hAnsi="Calibri" w:cs="Calibri"/>
              </w:rPr>
            </w:pP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 xml:space="preserve">12 WDs  </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widowControl w:val="0"/>
              <w:spacing w:before="120"/>
              <w:contextualSpacing/>
              <w:rPr>
                <w:rFonts w:cstheme="minorHAnsi"/>
                <w:lang w:eastAsia="tr-TR"/>
              </w:rPr>
            </w:pPr>
            <w:r w:rsidRPr="002700C9">
              <w:rPr>
                <w:rFonts w:eastAsia="Aptos" w:cstheme="minorHAnsi"/>
                <w:kern w:val="2"/>
                <w14:ligatures w14:val="standardContextual"/>
              </w:rPr>
              <w:t>Report on consultative meetings with diverse groups of parents</w:t>
            </w:r>
          </w:p>
        </w:tc>
      </w:tr>
      <w:tr w:rsidR="002700C9" w:rsidRPr="002700C9" w:rsidTr="002700C9">
        <w:trPr>
          <w:trHeight w:val="1124"/>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b/>
                <w:bCs/>
                <w:szCs w:val="24"/>
                <w:lang w:val="en-US"/>
              </w:rPr>
            </w:pPr>
            <w:r w:rsidRPr="002700C9">
              <w:rPr>
                <w:rFonts w:ascii="Calibri" w:eastAsia="Times New Roman" w:hAnsi="Calibri" w:cs="Calibri"/>
                <w:b/>
                <w:bCs/>
                <w:szCs w:val="24"/>
                <w:lang w:val="en-US"/>
              </w:rPr>
              <w:t>2.6.2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b/>
                <w:bCs/>
                <w:szCs w:val="24"/>
                <w:lang w:val="en-US"/>
              </w:rPr>
            </w:pPr>
            <w:r w:rsidRPr="002700C9">
              <w:rPr>
                <w:rFonts w:ascii="Calibri" w:eastAsia="Times New Roman" w:hAnsi="Calibri" w:cs="Calibri"/>
                <w:b/>
                <w:bCs/>
                <w:szCs w:val="24"/>
                <w:lang w:val="en-US"/>
              </w:rPr>
              <w:t>/</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numPr>
                <w:ilvl w:val="0"/>
                <w:numId w:val="1"/>
              </w:numPr>
              <w:autoSpaceDE w:val="0"/>
              <w:autoSpaceDN w:val="0"/>
              <w:adjustRightInd w:val="0"/>
              <w:spacing w:after="120"/>
              <w:ind w:left="430"/>
              <w:contextualSpacing/>
              <w:rPr>
                <w:rFonts w:ascii="Calibri" w:eastAsia="Times New Roman" w:hAnsi="Calibri" w:cs="Calibri"/>
              </w:rPr>
            </w:pPr>
            <w:r w:rsidRPr="002700C9">
              <w:rPr>
                <w:rFonts w:ascii="Calibri" w:eastAsia="Times New Roman" w:hAnsi="Calibri" w:cs="Calibri"/>
              </w:rPr>
              <w:t>Assist in the preparation of information/content for the webpage, covering available support services, rights, and referral systems regarding Roma students</w:t>
            </w:r>
          </w:p>
          <w:p w:rsidR="002700C9" w:rsidRPr="002700C9" w:rsidRDefault="002700C9" w:rsidP="002700C9">
            <w:pPr>
              <w:autoSpaceDE w:val="0"/>
              <w:autoSpaceDN w:val="0"/>
              <w:adjustRightInd w:val="0"/>
              <w:spacing w:after="120"/>
              <w:ind w:left="430"/>
              <w:contextualSpacing/>
              <w:rPr>
                <w:rFonts w:ascii="Calibri" w:eastAsia="Times New Roman" w:hAnsi="Calibri" w:cs="Calibri"/>
              </w:rPr>
            </w:pP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3 WD</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widowControl w:val="0"/>
              <w:spacing w:before="120"/>
              <w:contextualSpacing/>
              <w:rPr>
                <w:rFonts w:eastAsia="Aptos" w:cstheme="minorHAnsi"/>
                <w:kern w:val="2"/>
                <w14:ligatures w14:val="standardContextual"/>
              </w:rPr>
            </w:pPr>
            <w:r w:rsidRPr="002700C9">
              <w:rPr>
                <w:rFonts w:eastAsia="Aptos" w:cstheme="minorHAnsi"/>
              </w:rPr>
              <w:t xml:space="preserve">Contribution to Webpage content  </w:t>
            </w:r>
          </w:p>
        </w:tc>
      </w:tr>
      <w:tr w:rsidR="002700C9" w:rsidRPr="002700C9" w:rsidTr="002700C9">
        <w:trPr>
          <w:trHeight w:val="1124"/>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b/>
                <w:bCs/>
                <w:szCs w:val="24"/>
                <w:lang w:val="en-US"/>
              </w:rPr>
            </w:pPr>
            <w:r w:rsidRPr="002700C9">
              <w:rPr>
                <w:rFonts w:ascii="Calibri" w:eastAsia="Times New Roman" w:hAnsi="Calibri" w:cs="Calibri"/>
                <w:b/>
                <w:bCs/>
                <w:szCs w:val="24"/>
                <w:lang w:val="en-US"/>
              </w:rPr>
              <w:t>2.10.13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2.10.13.1</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numPr>
                <w:ilvl w:val="0"/>
                <w:numId w:val="1"/>
              </w:numPr>
              <w:spacing w:after="0" w:line="240" w:lineRule="auto"/>
              <w:ind w:left="650"/>
              <w:contextualSpacing/>
              <w:rPr>
                <w:rFonts w:cstheme="minorHAnsi"/>
                <w:bCs/>
                <w:lang w:eastAsia="tr-TR"/>
              </w:rPr>
            </w:pPr>
            <w:r w:rsidRPr="002700C9">
              <w:rPr>
                <w:rFonts w:cstheme="minorHAnsi"/>
                <w:bCs/>
                <w:lang w:eastAsia="tr-TR"/>
              </w:rPr>
              <w:t xml:space="preserve">Establish consultative group, including </w:t>
            </w:r>
            <w:proofErr w:type="spellStart"/>
            <w:r w:rsidRPr="002700C9">
              <w:rPr>
                <w:rFonts w:cstheme="minorHAnsi"/>
                <w:bCs/>
                <w:lang w:eastAsia="tr-TR"/>
              </w:rPr>
              <w:t>MoE</w:t>
            </w:r>
            <w:proofErr w:type="spellEnd"/>
            <w:r w:rsidRPr="002700C9">
              <w:rPr>
                <w:rFonts w:cstheme="minorHAnsi"/>
                <w:bCs/>
                <w:lang w:eastAsia="tr-TR"/>
              </w:rPr>
              <w:t>, The office for dual education and NQFS, other institutions, representatives of associations of vulnerable groups</w:t>
            </w:r>
          </w:p>
          <w:p w:rsidR="002700C9" w:rsidRPr="002700C9" w:rsidRDefault="002700C9" w:rsidP="002700C9">
            <w:pPr>
              <w:numPr>
                <w:ilvl w:val="0"/>
                <w:numId w:val="1"/>
              </w:numPr>
              <w:spacing w:after="0" w:line="240" w:lineRule="auto"/>
              <w:ind w:left="650"/>
              <w:contextualSpacing/>
              <w:rPr>
                <w:rFonts w:cstheme="minorHAnsi"/>
                <w:bCs/>
                <w:lang w:eastAsia="tr-TR"/>
              </w:rPr>
            </w:pPr>
            <w:r w:rsidRPr="002700C9">
              <w:rPr>
                <w:rFonts w:cstheme="minorHAnsi"/>
                <w:bCs/>
                <w:lang w:eastAsia="tr-TR"/>
              </w:rPr>
              <w:t>Conduct wide consultations with relevant organizations in order to:</w:t>
            </w:r>
          </w:p>
          <w:p w:rsidR="002700C9" w:rsidRPr="002700C9" w:rsidRDefault="002700C9" w:rsidP="002700C9">
            <w:pPr>
              <w:numPr>
                <w:ilvl w:val="1"/>
                <w:numId w:val="1"/>
              </w:numPr>
              <w:spacing w:after="0" w:line="240" w:lineRule="auto"/>
              <w:ind w:left="1370"/>
              <w:contextualSpacing/>
              <w:rPr>
                <w:rFonts w:cstheme="minorHAnsi"/>
                <w:bCs/>
                <w:lang w:eastAsia="tr-TR"/>
              </w:rPr>
            </w:pPr>
            <w:r w:rsidRPr="002700C9">
              <w:rPr>
                <w:rFonts w:cstheme="minorHAnsi"/>
                <w:bCs/>
                <w:lang w:eastAsia="tr-TR"/>
              </w:rPr>
              <w:t xml:space="preserve">Gather available data on education pathways of children with IEP2 </w:t>
            </w:r>
          </w:p>
          <w:p w:rsidR="002700C9" w:rsidRPr="002700C9" w:rsidRDefault="002700C9" w:rsidP="002700C9">
            <w:pPr>
              <w:numPr>
                <w:ilvl w:val="1"/>
                <w:numId w:val="1"/>
              </w:numPr>
              <w:spacing w:after="0" w:line="240" w:lineRule="auto"/>
              <w:ind w:left="1370"/>
              <w:contextualSpacing/>
              <w:rPr>
                <w:rFonts w:cstheme="minorHAnsi"/>
                <w:bCs/>
                <w:lang w:eastAsia="tr-TR"/>
              </w:rPr>
            </w:pPr>
            <w:r w:rsidRPr="002700C9">
              <w:rPr>
                <w:rFonts w:cstheme="minorHAnsi"/>
                <w:bCs/>
                <w:lang w:eastAsia="tr-TR"/>
              </w:rPr>
              <w:t>Explore options for flexible education solutions</w:t>
            </w:r>
          </w:p>
          <w:p w:rsidR="002700C9" w:rsidRPr="002700C9" w:rsidRDefault="002700C9" w:rsidP="002700C9">
            <w:pPr>
              <w:numPr>
                <w:ilvl w:val="0"/>
                <w:numId w:val="1"/>
              </w:numPr>
              <w:autoSpaceDE w:val="0"/>
              <w:autoSpaceDN w:val="0"/>
              <w:adjustRightInd w:val="0"/>
              <w:spacing w:after="120"/>
              <w:ind w:left="650"/>
              <w:contextualSpacing/>
              <w:rPr>
                <w:rFonts w:ascii="Calibri" w:eastAsia="Times New Roman" w:hAnsi="Calibri" w:cs="Calibri"/>
              </w:rPr>
            </w:pPr>
            <w:r w:rsidRPr="002700C9">
              <w:rPr>
                <w:rFonts w:cstheme="minorHAnsi"/>
                <w:bCs/>
                <w:lang w:eastAsia="tr-TR"/>
              </w:rPr>
              <w:t>Develop recommendations for education options that ensure reaching qualification standards for students with IEP2</w:t>
            </w: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7 WDs</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numPr>
                <w:ilvl w:val="0"/>
                <w:numId w:val="19"/>
              </w:numPr>
              <w:spacing w:before="120" w:after="0" w:line="240" w:lineRule="auto"/>
              <w:ind w:left="180" w:hanging="180"/>
              <w:contextualSpacing/>
              <w:jc w:val="both"/>
              <w:rPr>
                <w:rFonts w:cstheme="minorHAnsi"/>
                <w:lang w:eastAsia="tr-TR"/>
              </w:rPr>
            </w:pPr>
            <w:r w:rsidRPr="002700C9">
              <w:rPr>
                <w:rFonts w:eastAsia="Aptos" w:cstheme="minorHAnsi"/>
              </w:rPr>
              <w:t>Report on consultations conducted</w:t>
            </w:r>
          </w:p>
          <w:p w:rsidR="002700C9" w:rsidRPr="002700C9" w:rsidRDefault="002700C9" w:rsidP="002700C9">
            <w:pPr>
              <w:numPr>
                <w:ilvl w:val="0"/>
                <w:numId w:val="19"/>
              </w:numPr>
              <w:spacing w:before="120" w:after="0" w:line="240" w:lineRule="auto"/>
              <w:ind w:left="180" w:hanging="180"/>
              <w:contextualSpacing/>
              <w:jc w:val="both"/>
              <w:rPr>
                <w:rFonts w:cstheme="minorHAnsi"/>
                <w:lang w:eastAsia="tr-TR"/>
              </w:rPr>
            </w:pPr>
            <w:r w:rsidRPr="002700C9">
              <w:rPr>
                <w:rFonts w:eastAsia="Aptos" w:cstheme="minorHAnsi"/>
              </w:rPr>
              <w:t>Recommendations for education options for students with IEP2 that meet qualification standards</w:t>
            </w:r>
          </w:p>
        </w:tc>
      </w:tr>
      <w:tr w:rsidR="002700C9" w:rsidRPr="002700C9" w:rsidTr="002700C9">
        <w:trPr>
          <w:trHeight w:val="1124"/>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b/>
                <w:bCs/>
                <w:szCs w:val="24"/>
                <w:lang w:val="en-US"/>
              </w:rPr>
            </w:pPr>
            <w:r w:rsidRPr="002700C9">
              <w:rPr>
                <w:rFonts w:ascii="Calibri" w:eastAsia="Times New Roman" w:hAnsi="Calibri" w:cs="Calibri"/>
                <w:b/>
                <w:bCs/>
                <w:szCs w:val="24"/>
                <w:lang w:val="en-US"/>
              </w:rPr>
              <w:t>2.10.13.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2.10.13.2</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spacing w:after="0" w:line="240" w:lineRule="auto"/>
              <w:ind w:left="650"/>
              <w:contextualSpacing/>
              <w:rPr>
                <w:rFonts w:cstheme="minorHAnsi"/>
                <w:bCs/>
                <w:lang w:eastAsia="tr-TR"/>
              </w:rPr>
            </w:pPr>
          </w:p>
          <w:p w:rsidR="002700C9" w:rsidRPr="002700C9" w:rsidRDefault="002700C9" w:rsidP="002700C9">
            <w:pPr>
              <w:numPr>
                <w:ilvl w:val="0"/>
                <w:numId w:val="1"/>
              </w:numPr>
              <w:spacing w:after="0" w:line="240" w:lineRule="auto"/>
              <w:ind w:left="650"/>
              <w:contextualSpacing/>
              <w:rPr>
                <w:rFonts w:cstheme="minorHAnsi"/>
                <w:bCs/>
                <w:lang w:eastAsia="tr-TR"/>
              </w:rPr>
            </w:pPr>
            <w:r w:rsidRPr="002700C9">
              <w:rPr>
                <w:rFonts w:eastAsia="Aptos" w:cstheme="minorHAnsi"/>
              </w:rPr>
              <w:t xml:space="preserve">Assist to </w:t>
            </w:r>
            <w:proofErr w:type="spellStart"/>
            <w:r w:rsidRPr="002700C9">
              <w:rPr>
                <w:rFonts w:eastAsia="Aptos" w:cstheme="minorHAnsi"/>
              </w:rPr>
              <w:t>MoE</w:t>
            </w:r>
            <w:proofErr w:type="spellEnd"/>
            <w:r w:rsidRPr="002700C9">
              <w:rPr>
                <w:rFonts w:eastAsia="Aptos" w:cstheme="minorHAnsi"/>
              </w:rPr>
              <w:t xml:space="preserve"> and other stakeholders in promotion of Career guidance and counselling programme (e.g. prepare announcements for school staff and Roma parents)</w:t>
            </w: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1 WD</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2700C9" w:rsidRPr="002700C9" w:rsidRDefault="002700C9" w:rsidP="002700C9">
            <w:pPr>
              <w:spacing w:before="120" w:after="0" w:line="240" w:lineRule="auto"/>
              <w:ind w:left="180"/>
              <w:contextualSpacing/>
              <w:jc w:val="both"/>
              <w:rPr>
                <w:rFonts w:cstheme="minorHAnsi"/>
                <w:lang w:eastAsia="tr-TR"/>
              </w:rPr>
            </w:pPr>
          </w:p>
          <w:p w:rsidR="002700C9" w:rsidRPr="002700C9" w:rsidRDefault="002700C9" w:rsidP="002700C9">
            <w:pPr>
              <w:numPr>
                <w:ilvl w:val="0"/>
                <w:numId w:val="19"/>
              </w:numPr>
              <w:spacing w:before="120" w:after="0" w:line="240" w:lineRule="auto"/>
              <w:ind w:left="180" w:hanging="180"/>
              <w:contextualSpacing/>
              <w:jc w:val="both"/>
              <w:rPr>
                <w:rFonts w:cstheme="minorHAnsi"/>
                <w:lang w:eastAsia="tr-TR"/>
              </w:rPr>
            </w:pPr>
            <w:r w:rsidRPr="002700C9">
              <w:rPr>
                <w:rFonts w:cstheme="minorHAnsi"/>
                <w:lang w:eastAsia="tr-TR"/>
              </w:rPr>
              <w:t>Contribution to the Report on assistance in promotion of the programme</w:t>
            </w:r>
          </w:p>
        </w:tc>
      </w:tr>
      <w:tr w:rsidR="002700C9" w:rsidRPr="002700C9" w:rsidTr="002700C9">
        <w:trPr>
          <w:trHeight w:val="583"/>
        </w:trPr>
        <w:tc>
          <w:tcPr>
            <w:tcW w:w="72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b/>
                <w:bCs/>
                <w:szCs w:val="24"/>
                <w:lang w:val="en-US"/>
              </w:rPr>
            </w:pPr>
            <w:r w:rsidRPr="002700C9">
              <w:rPr>
                <w:rFonts w:eastAsia="Aptos" w:cstheme="minorHAnsi"/>
                <w:b/>
                <w:bCs/>
                <w:kern w:val="2"/>
                <w14:ligatures w14:val="standardContextual"/>
              </w:rPr>
              <w:t>2.11.3.</w:t>
            </w: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spacing w:after="0" w:line="240" w:lineRule="auto"/>
              <w:jc w:val="both"/>
              <w:rPr>
                <w:rFonts w:ascii="Calibri" w:eastAsia="Times New Roman" w:hAnsi="Calibri" w:cs="Calibri"/>
                <w:szCs w:val="24"/>
                <w:lang w:val="en-US"/>
              </w:rPr>
            </w:pPr>
            <w:r w:rsidRPr="002700C9">
              <w:rPr>
                <w:rFonts w:eastAsia="Aptos" w:cstheme="minorHAnsi"/>
                <w:kern w:val="2"/>
                <w14:ligatures w14:val="standardContextual"/>
              </w:rPr>
              <w:t>2.11.3.1.</w:t>
            </w:r>
          </w:p>
        </w:tc>
        <w:tc>
          <w:tcPr>
            <w:tcW w:w="360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numPr>
                <w:ilvl w:val="0"/>
                <w:numId w:val="22"/>
              </w:numPr>
              <w:spacing w:after="0" w:line="240" w:lineRule="auto"/>
              <w:contextualSpacing/>
              <w:rPr>
                <w:rFonts w:cstheme="minorHAnsi"/>
                <w:bCs/>
                <w:lang w:eastAsia="tr-TR"/>
              </w:rPr>
            </w:pPr>
            <w:r w:rsidRPr="002700C9">
              <w:rPr>
                <w:rFonts w:cstheme="minorHAnsi"/>
                <w:bCs/>
                <w:lang w:eastAsia="tr-TR"/>
              </w:rPr>
              <w:t xml:space="preserve">Assist to establish working group including representatives of </w:t>
            </w:r>
            <w:proofErr w:type="spellStart"/>
            <w:r w:rsidRPr="002700C9">
              <w:rPr>
                <w:rFonts w:cstheme="minorHAnsi"/>
                <w:bCs/>
                <w:lang w:eastAsia="tr-TR"/>
              </w:rPr>
              <w:t>MoE</w:t>
            </w:r>
            <w:proofErr w:type="spellEnd"/>
            <w:r w:rsidRPr="002700C9">
              <w:rPr>
                <w:rFonts w:cstheme="minorHAnsi"/>
                <w:bCs/>
                <w:lang w:eastAsia="tr-TR"/>
              </w:rPr>
              <w:t>, HEI and representatives of associations of Roma students</w:t>
            </w:r>
          </w:p>
          <w:p w:rsidR="002700C9" w:rsidRPr="002700C9" w:rsidRDefault="002700C9" w:rsidP="002700C9">
            <w:pPr>
              <w:numPr>
                <w:ilvl w:val="0"/>
                <w:numId w:val="22"/>
              </w:numPr>
              <w:spacing w:after="0" w:line="240" w:lineRule="auto"/>
              <w:contextualSpacing/>
              <w:rPr>
                <w:rFonts w:cstheme="minorHAnsi"/>
                <w:bCs/>
                <w:lang w:eastAsia="tr-TR"/>
              </w:rPr>
            </w:pPr>
            <w:r w:rsidRPr="002700C9">
              <w:rPr>
                <w:rFonts w:cstheme="minorHAnsi"/>
                <w:bCs/>
                <w:lang w:eastAsia="tr-TR"/>
              </w:rPr>
              <w:t>Gather data about types, quantity, quality, equity and effectiveness of support from HEI and students from vulnerable groups</w:t>
            </w:r>
          </w:p>
          <w:p w:rsidR="002700C9" w:rsidRPr="002700C9" w:rsidRDefault="002700C9" w:rsidP="002700C9">
            <w:pPr>
              <w:spacing w:after="0" w:line="240" w:lineRule="auto"/>
              <w:ind w:left="360"/>
              <w:rPr>
                <w:rFonts w:eastAsia="Aptos" w:cstheme="minorHAnsi"/>
                <w:kern w:val="2"/>
                <w:lang w:eastAsia="nl-NL"/>
                <w14:ligatures w14:val="standardContextual"/>
              </w:rPr>
            </w:pP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 xml:space="preserve">6 </w:t>
            </w:r>
            <w:r w:rsidRPr="002700C9">
              <w:rPr>
                <w:rFonts w:ascii="Calibri" w:eastAsia="Times New Roman" w:hAnsi="Calibri" w:cs="Calibri"/>
                <w:szCs w:val="24"/>
              </w:rPr>
              <w:t>WDs</w:t>
            </w:r>
          </w:p>
        </w:tc>
        <w:tc>
          <w:tcPr>
            <w:tcW w:w="324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widowControl w:val="0"/>
              <w:numPr>
                <w:ilvl w:val="0"/>
                <w:numId w:val="21"/>
              </w:numPr>
              <w:spacing w:before="120" w:after="0" w:line="240" w:lineRule="auto"/>
              <w:contextualSpacing/>
              <w:rPr>
                <w:rFonts w:eastAsia="Aptos" w:cstheme="minorHAnsi"/>
              </w:rPr>
            </w:pPr>
            <w:r w:rsidRPr="002700C9">
              <w:rPr>
                <w:rFonts w:eastAsia="Aptos" w:cstheme="minorHAnsi"/>
              </w:rPr>
              <w:t>Contribute to the Report on the current model based on the collected data and recommendations</w:t>
            </w:r>
          </w:p>
        </w:tc>
      </w:tr>
      <w:tr w:rsidR="002700C9" w:rsidRPr="002700C9" w:rsidTr="002700C9">
        <w:trPr>
          <w:trHeight w:val="583"/>
        </w:trPr>
        <w:tc>
          <w:tcPr>
            <w:tcW w:w="72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b/>
                <w:bCs/>
                <w:szCs w:val="24"/>
                <w:lang w:val="en-US"/>
              </w:rPr>
            </w:pPr>
            <w:r w:rsidRPr="002700C9">
              <w:rPr>
                <w:rFonts w:eastAsia="Aptos" w:cstheme="minorHAnsi"/>
                <w:b/>
                <w:bCs/>
                <w:kern w:val="2"/>
                <w14:ligatures w14:val="standardContextual"/>
              </w:rPr>
              <w:t>2.11.3.</w:t>
            </w: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spacing w:after="0" w:line="240" w:lineRule="auto"/>
              <w:jc w:val="both"/>
              <w:rPr>
                <w:rFonts w:ascii="Calibri" w:eastAsia="Times New Roman" w:hAnsi="Calibri" w:cs="Calibri"/>
                <w:szCs w:val="24"/>
                <w:lang w:val="en-US"/>
              </w:rPr>
            </w:pPr>
            <w:r w:rsidRPr="002700C9">
              <w:rPr>
                <w:rFonts w:eastAsia="Aptos" w:cstheme="minorHAnsi"/>
                <w:kern w:val="2"/>
                <w14:ligatures w14:val="standardContextual"/>
              </w:rPr>
              <w:t>2.11.3.2.</w:t>
            </w:r>
          </w:p>
        </w:tc>
        <w:tc>
          <w:tcPr>
            <w:tcW w:w="360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numPr>
                <w:ilvl w:val="0"/>
                <w:numId w:val="20"/>
              </w:numPr>
              <w:spacing w:after="0" w:line="240" w:lineRule="auto"/>
              <w:contextualSpacing/>
              <w:rPr>
                <w:rFonts w:cstheme="minorHAnsi"/>
                <w:bCs/>
                <w:lang w:eastAsia="tr-TR"/>
              </w:rPr>
            </w:pPr>
            <w:r w:rsidRPr="002700C9">
              <w:rPr>
                <w:rFonts w:cstheme="minorHAnsi"/>
                <w:bCs/>
                <w:lang w:eastAsia="tr-TR"/>
              </w:rPr>
              <w:t xml:space="preserve">Participate in developing a draft financial </w:t>
            </w:r>
            <w:r w:rsidRPr="002700C9">
              <w:rPr>
                <w:rFonts w:eastAsia="Aptos" w:cstheme="minorHAnsi"/>
                <w:kern w:val="2"/>
                <w14:ligatures w14:val="standardContextual"/>
              </w:rPr>
              <w:t xml:space="preserve">and non-financial supports </w:t>
            </w:r>
            <w:r w:rsidRPr="002700C9">
              <w:rPr>
                <w:rFonts w:cstheme="minorHAnsi"/>
                <w:bCs/>
                <w:lang w:eastAsia="tr-TR"/>
              </w:rPr>
              <w:t>model protocol based on the assessment and recommendations</w:t>
            </w:r>
          </w:p>
          <w:p w:rsidR="002700C9" w:rsidRPr="002700C9" w:rsidRDefault="002700C9" w:rsidP="002700C9">
            <w:pPr>
              <w:spacing w:after="0" w:line="240" w:lineRule="auto"/>
              <w:ind w:left="360"/>
              <w:rPr>
                <w:rFonts w:eastAsia="Aptos" w:cstheme="minorHAnsi"/>
                <w:kern w:val="2"/>
                <w:lang w:eastAsia="nl-NL"/>
                <w14:ligatures w14:val="standardContextual"/>
              </w:rPr>
            </w:pP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4</w:t>
            </w:r>
            <w:r w:rsidRPr="002700C9">
              <w:rPr>
                <w:rFonts w:ascii="Calibri" w:eastAsia="Times New Roman" w:hAnsi="Calibri" w:cs="Calibri"/>
              </w:rPr>
              <w:t xml:space="preserve"> </w:t>
            </w:r>
            <w:r w:rsidRPr="002700C9">
              <w:rPr>
                <w:rFonts w:ascii="Calibri" w:eastAsia="Times New Roman" w:hAnsi="Calibri" w:cs="Calibri"/>
                <w:szCs w:val="24"/>
              </w:rPr>
              <w:t>WDs</w:t>
            </w:r>
          </w:p>
        </w:tc>
        <w:tc>
          <w:tcPr>
            <w:tcW w:w="324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numPr>
                <w:ilvl w:val="0"/>
                <w:numId w:val="21"/>
              </w:numPr>
              <w:spacing w:before="120" w:after="0" w:line="240" w:lineRule="auto"/>
              <w:contextualSpacing/>
              <w:rPr>
                <w:rFonts w:cstheme="minorHAnsi"/>
                <w:lang w:eastAsia="tr-TR"/>
              </w:rPr>
            </w:pPr>
            <w:r w:rsidRPr="002700C9">
              <w:rPr>
                <w:rFonts w:eastAsia="Aptos" w:cstheme="minorHAnsi"/>
              </w:rPr>
              <w:t xml:space="preserve">Contribution to Financial </w:t>
            </w:r>
            <w:r w:rsidRPr="002700C9">
              <w:rPr>
                <w:rFonts w:eastAsia="Aptos" w:cstheme="minorHAnsi"/>
                <w:kern w:val="2"/>
                <w14:ligatures w14:val="standardContextual"/>
              </w:rPr>
              <w:t xml:space="preserve">and non-financial supports </w:t>
            </w:r>
            <w:r w:rsidRPr="002700C9">
              <w:rPr>
                <w:rFonts w:eastAsia="Aptos" w:cstheme="minorHAnsi"/>
              </w:rPr>
              <w:t>model protocol</w:t>
            </w:r>
          </w:p>
          <w:p w:rsidR="002700C9" w:rsidRPr="002700C9" w:rsidRDefault="002700C9" w:rsidP="002700C9">
            <w:pPr>
              <w:widowControl w:val="0"/>
              <w:spacing w:before="120" w:after="0" w:line="240" w:lineRule="auto"/>
              <w:ind w:left="360"/>
              <w:contextualSpacing/>
              <w:rPr>
                <w:rFonts w:eastAsia="Aptos" w:cstheme="minorHAnsi"/>
              </w:rPr>
            </w:pPr>
          </w:p>
        </w:tc>
      </w:tr>
      <w:tr w:rsidR="002700C9" w:rsidRPr="002700C9" w:rsidTr="002700C9">
        <w:trPr>
          <w:trHeight w:val="583"/>
        </w:trPr>
        <w:tc>
          <w:tcPr>
            <w:tcW w:w="72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eastAsia="Aptos" w:cstheme="minorHAnsi"/>
                <w:b/>
                <w:bCs/>
                <w:kern w:val="2"/>
                <w14:ligatures w14:val="standardContextual"/>
              </w:rPr>
            </w:pPr>
            <w:r w:rsidRPr="002700C9">
              <w:rPr>
                <w:rFonts w:eastAsia="Aptos" w:cstheme="minorHAnsi"/>
                <w:b/>
                <w:bCs/>
                <w:kern w:val="2"/>
                <w14:ligatures w14:val="standardContextual"/>
              </w:rPr>
              <w:t>2.11.3.</w:t>
            </w: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spacing w:after="0" w:line="240" w:lineRule="auto"/>
              <w:jc w:val="both"/>
              <w:rPr>
                <w:rFonts w:eastAsia="Aptos" w:cstheme="minorHAnsi"/>
                <w:kern w:val="2"/>
                <w14:ligatures w14:val="standardContextual"/>
              </w:rPr>
            </w:pPr>
            <w:r w:rsidRPr="002700C9">
              <w:rPr>
                <w:rFonts w:eastAsia="Aptos" w:cstheme="minorHAnsi"/>
                <w:kern w:val="2"/>
                <w14:ligatures w14:val="standardContextual"/>
              </w:rPr>
              <w:t>2.11.3.3.</w:t>
            </w:r>
          </w:p>
        </w:tc>
        <w:tc>
          <w:tcPr>
            <w:tcW w:w="360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numPr>
                <w:ilvl w:val="0"/>
                <w:numId w:val="20"/>
              </w:numPr>
              <w:spacing w:after="0" w:line="240" w:lineRule="auto"/>
              <w:contextualSpacing/>
              <w:rPr>
                <w:rFonts w:cstheme="minorHAnsi"/>
                <w:bCs/>
                <w:lang w:eastAsia="tr-TR"/>
              </w:rPr>
            </w:pPr>
            <w:r w:rsidRPr="002700C9">
              <w:rPr>
                <w:rFonts w:cstheme="minorHAnsi"/>
                <w:bCs/>
                <w:lang w:eastAsia="tr-TR"/>
              </w:rPr>
              <w:t>Assist in preparing guidelines for providing support, including case studies of best practices regarding Roma students</w:t>
            </w:r>
          </w:p>
          <w:p w:rsidR="002700C9" w:rsidRPr="002700C9" w:rsidRDefault="002700C9" w:rsidP="002700C9">
            <w:pPr>
              <w:spacing w:after="0" w:line="240" w:lineRule="auto"/>
              <w:ind w:left="360"/>
              <w:contextualSpacing/>
              <w:rPr>
                <w:rFonts w:cstheme="minorHAnsi"/>
                <w:bCs/>
                <w:lang w:eastAsia="tr-TR"/>
              </w:rPr>
            </w:pP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5</w:t>
            </w:r>
            <w:r w:rsidRPr="002700C9">
              <w:rPr>
                <w:rFonts w:ascii="Calibri" w:eastAsia="Times New Roman" w:hAnsi="Calibri" w:cs="Calibri"/>
                <w:szCs w:val="24"/>
              </w:rPr>
              <w:t>WDs</w:t>
            </w:r>
          </w:p>
        </w:tc>
        <w:tc>
          <w:tcPr>
            <w:tcW w:w="324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numPr>
                <w:ilvl w:val="0"/>
                <w:numId w:val="21"/>
              </w:numPr>
              <w:spacing w:before="120" w:after="0" w:line="240" w:lineRule="auto"/>
              <w:contextualSpacing/>
              <w:rPr>
                <w:rFonts w:cstheme="minorHAnsi"/>
                <w:lang w:eastAsia="tr-TR"/>
              </w:rPr>
            </w:pPr>
            <w:r w:rsidRPr="002700C9">
              <w:rPr>
                <w:rFonts w:eastAsia="Aptos" w:cstheme="minorHAnsi"/>
              </w:rPr>
              <w:t>Contribution to Guidelines</w:t>
            </w:r>
          </w:p>
          <w:p w:rsidR="002700C9" w:rsidRPr="002700C9" w:rsidRDefault="002700C9" w:rsidP="002700C9">
            <w:pPr>
              <w:widowControl w:val="0"/>
              <w:spacing w:before="120" w:after="0" w:line="240" w:lineRule="auto"/>
              <w:ind w:left="360"/>
              <w:contextualSpacing/>
              <w:rPr>
                <w:rFonts w:eastAsia="Aptos" w:cstheme="minorHAnsi"/>
              </w:rPr>
            </w:pPr>
          </w:p>
        </w:tc>
      </w:tr>
      <w:tr w:rsidR="002700C9" w:rsidRPr="002700C9" w:rsidTr="002700C9">
        <w:trPr>
          <w:trHeight w:val="583"/>
        </w:trPr>
        <w:tc>
          <w:tcPr>
            <w:tcW w:w="72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eastAsia="Aptos" w:cstheme="minorHAnsi"/>
                <w:b/>
                <w:bCs/>
                <w:kern w:val="2"/>
                <w14:ligatures w14:val="standardContextual"/>
              </w:rPr>
            </w:pPr>
            <w:r w:rsidRPr="002700C9">
              <w:rPr>
                <w:rFonts w:eastAsia="Aptos" w:cstheme="minorHAnsi"/>
                <w:b/>
                <w:bCs/>
                <w:kern w:val="2"/>
                <w14:ligatures w14:val="standardContextual"/>
              </w:rPr>
              <w:t>2.11.3.</w:t>
            </w: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spacing w:after="0" w:line="240" w:lineRule="auto"/>
              <w:jc w:val="both"/>
              <w:rPr>
                <w:rFonts w:eastAsia="Aptos" w:cstheme="minorHAnsi"/>
                <w:kern w:val="2"/>
                <w14:ligatures w14:val="standardContextual"/>
              </w:rPr>
            </w:pPr>
            <w:r w:rsidRPr="002700C9">
              <w:rPr>
                <w:rFonts w:eastAsia="Aptos" w:cstheme="minorHAnsi"/>
                <w:kern w:val="2"/>
                <w14:ligatures w14:val="standardContextual"/>
              </w:rPr>
              <w:t>2.11.3.4.</w:t>
            </w:r>
          </w:p>
        </w:tc>
        <w:tc>
          <w:tcPr>
            <w:tcW w:w="360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contextualSpacing/>
              <w:rPr>
                <w:rFonts w:cstheme="minorHAnsi"/>
                <w:bCs/>
                <w:lang w:eastAsia="tr-TR"/>
              </w:rPr>
            </w:pPr>
          </w:p>
          <w:p w:rsidR="002700C9" w:rsidRPr="002700C9" w:rsidRDefault="002700C9" w:rsidP="002700C9">
            <w:pPr>
              <w:numPr>
                <w:ilvl w:val="0"/>
                <w:numId w:val="22"/>
              </w:numPr>
              <w:spacing w:after="0" w:line="240" w:lineRule="auto"/>
              <w:contextualSpacing/>
              <w:rPr>
                <w:rFonts w:cstheme="minorHAnsi"/>
                <w:bCs/>
                <w:lang w:eastAsia="tr-TR"/>
              </w:rPr>
            </w:pPr>
            <w:r w:rsidRPr="002700C9">
              <w:rPr>
                <w:rFonts w:cstheme="minorHAnsi"/>
                <w:bCs/>
                <w:lang w:eastAsia="tr-TR"/>
              </w:rPr>
              <w:t>Assist in drafting communication content meeting the needs of diverse vulnerable and exceptional groups to be promoted and distributed</w:t>
            </w: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 xml:space="preserve">3 </w:t>
            </w:r>
            <w:r w:rsidRPr="002700C9">
              <w:rPr>
                <w:rFonts w:ascii="Calibri" w:eastAsia="Times New Roman" w:hAnsi="Calibri" w:cs="Calibri"/>
                <w:szCs w:val="24"/>
              </w:rPr>
              <w:t>WDs</w:t>
            </w:r>
          </w:p>
        </w:tc>
        <w:tc>
          <w:tcPr>
            <w:tcW w:w="324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spacing w:before="120" w:after="0" w:line="240" w:lineRule="auto"/>
              <w:ind w:left="360"/>
              <w:contextualSpacing/>
              <w:jc w:val="both"/>
              <w:rPr>
                <w:rFonts w:cstheme="minorHAnsi"/>
                <w:lang w:eastAsia="tr-TR"/>
              </w:rPr>
            </w:pPr>
          </w:p>
          <w:p w:rsidR="002700C9" w:rsidRPr="002700C9" w:rsidRDefault="002700C9" w:rsidP="002700C9">
            <w:pPr>
              <w:widowControl w:val="0"/>
              <w:numPr>
                <w:ilvl w:val="0"/>
                <w:numId w:val="21"/>
              </w:numPr>
              <w:spacing w:before="120" w:after="0" w:line="240" w:lineRule="auto"/>
              <w:contextualSpacing/>
              <w:rPr>
                <w:rFonts w:eastAsia="Aptos" w:cstheme="minorHAnsi"/>
              </w:rPr>
            </w:pPr>
            <w:r w:rsidRPr="002700C9">
              <w:rPr>
                <w:rFonts w:cstheme="minorHAnsi"/>
                <w:lang w:eastAsia="tr-TR"/>
              </w:rPr>
              <w:t>Contribute to drafting communication content</w:t>
            </w:r>
          </w:p>
        </w:tc>
      </w:tr>
      <w:tr w:rsidR="002700C9" w:rsidRPr="002700C9" w:rsidTr="002700C9">
        <w:trPr>
          <w:trHeight w:val="583"/>
        </w:trPr>
        <w:tc>
          <w:tcPr>
            <w:tcW w:w="72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eastAsia="Aptos" w:cstheme="minorHAnsi"/>
                <w:b/>
                <w:bCs/>
                <w:kern w:val="2"/>
                <w14:ligatures w14:val="standardContextual"/>
              </w:rPr>
            </w:pPr>
            <w:r w:rsidRPr="002700C9">
              <w:rPr>
                <w:rFonts w:eastAsia="Aptos" w:cstheme="minorHAnsi"/>
                <w:b/>
                <w:bCs/>
                <w:kern w:val="2"/>
                <w14:ligatures w14:val="standardContextual"/>
              </w:rPr>
              <w:t>2.11.3.</w:t>
            </w: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spacing w:after="0" w:line="240" w:lineRule="auto"/>
              <w:jc w:val="both"/>
              <w:rPr>
                <w:rFonts w:eastAsia="Aptos" w:cstheme="minorHAnsi"/>
                <w:kern w:val="2"/>
                <w14:ligatures w14:val="standardContextual"/>
              </w:rPr>
            </w:pPr>
            <w:r w:rsidRPr="002700C9">
              <w:rPr>
                <w:rFonts w:eastAsia="Aptos" w:cstheme="minorHAnsi"/>
                <w:kern w:val="2"/>
                <w14:ligatures w14:val="standardContextual"/>
              </w:rPr>
              <w:t>2.11.3.5.</w:t>
            </w:r>
          </w:p>
        </w:tc>
        <w:tc>
          <w:tcPr>
            <w:tcW w:w="360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numPr>
                <w:ilvl w:val="0"/>
                <w:numId w:val="22"/>
              </w:numPr>
              <w:spacing w:after="0" w:line="240" w:lineRule="auto"/>
              <w:contextualSpacing/>
              <w:rPr>
                <w:rFonts w:cstheme="minorHAnsi"/>
                <w:bCs/>
                <w:lang w:eastAsia="tr-TR"/>
              </w:rPr>
            </w:pPr>
            <w:r w:rsidRPr="002700C9">
              <w:rPr>
                <w:rFonts w:cstheme="minorHAnsi"/>
                <w:bCs/>
                <w:lang w:eastAsia="tr-TR"/>
              </w:rPr>
              <w:t>Assist in preparing draft revisions of legislative and regulatory acts</w:t>
            </w:r>
          </w:p>
          <w:p w:rsidR="002700C9" w:rsidRPr="002700C9" w:rsidRDefault="002700C9" w:rsidP="002700C9">
            <w:pPr>
              <w:spacing w:after="0" w:line="240" w:lineRule="auto"/>
              <w:rPr>
                <w:rFonts w:cstheme="minorHAnsi"/>
                <w:bCs/>
                <w:lang w:eastAsia="tr-TR"/>
              </w:rPr>
            </w:pP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1</w:t>
            </w:r>
            <w:r w:rsidRPr="002700C9">
              <w:rPr>
                <w:rFonts w:ascii="Calibri" w:eastAsia="Times New Roman" w:hAnsi="Calibri" w:cs="Calibri"/>
                <w:szCs w:val="24"/>
              </w:rPr>
              <w:t>WDs</w:t>
            </w:r>
          </w:p>
        </w:tc>
        <w:tc>
          <w:tcPr>
            <w:tcW w:w="324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numPr>
                <w:ilvl w:val="0"/>
                <w:numId w:val="23"/>
              </w:numPr>
              <w:spacing w:before="120" w:after="0" w:line="240" w:lineRule="auto"/>
              <w:contextualSpacing/>
              <w:jc w:val="both"/>
              <w:rPr>
                <w:rFonts w:cstheme="minorHAnsi"/>
                <w:lang w:eastAsia="tr-TR"/>
              </w:rPr>
            </w:pPr>
            <w:r w:rsidRPr="002700C9">
              <w:rPr>
                <w:rFonts w:eastAsia="Aptos" w:cstheme="minorHAnsi"/>
              </w:rPr>
              <w:t>Contribution to the Legal gap analysis</w:t>
            </w:r>
          </w:p>
        </w:tc>
      </w:tr>
      <w:tr w:rsidR="002700C9" w:rsidRPr="002700C9" w:rsidTr="002700C9">
        <w:trPr>
          <w:trHeight w:val="583"/>
        </w:trPr>
        <w:tc>
          <w:tcPr>
            <w:tcW w:w="72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eastAsia="Aptos" w:cstheme="minorHAnsi"/>
                <w:b/>
                <w:bCs/>
                <w:kern w:val="2"/>
                <w14:ligatures w14:val="standardContextual"/>
              </w:rPr>
            </w:pPr>
            <w:r w:rsidRPr="002700C9">
              <w:rPr>
                <w:rFonts w:eastAsia="Aptos" w:cstheme="minorHAnsi"/>
                <w:b/>
                <w:bCs/>
                <w:kern w:val="2"/>
                <w14:ligatures w14:val="standardContextual"/>
              </w:rPr>
              <w:t>Total</w:t>
            </w: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spacing w:after="0" w:line="240" w:lineRule="auto"/>
              <w:jc w:val="both"/>
              <w:rPr>
                <w:rFonts w:eastAsia="Aptos" w:cstheme="minorHAnsi"/>
                <w:kern w:val="2"/>
                <w14:ligatures w14:val="standardContextual"/>
              </w:rPr>
            </w:pPr>
          </w:p>
        </w:tc>
        <w:tc>
          <w:tcPr>
            <w:tcW w:w="360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spacing w:after="0" w:line="240" w:lineRule="auto"/>
              <w:ind w:left="360"/>
              <w:contextualSpacing/>
              <w:rPr>
                <w:rFonts w:cstheme="minorHAnsi"/>
                <w:bCs/>
                <w:lang w:eastAsia="tr-TR"/>
              </w:rPr>
            </w:pPr>
          </w:p>
        </w:tc>
        <w:tc>
          <w:tcPr>
            <w:tcW w:w="117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autoSpaceDE w:val="0"/>
              <w:autoSpaceDN w:val="0"/>
              <w:adjustRightInd w:val="0"/>
              <w:spacing w:after="120" w:line="240" w:lineRule="auto"/>
              <w:jc w:val="both"/>
              <w:rPr>
                <w:rFonts w:ascii="Calibri" w:eastAsia="Times New Roman" w:hAnsi="Calibri" w:cs="Calibri"/>
                <w:szCs w:val="24"/>
                <w:lang w:val="en-US"/>
              </w:rPr>
            </w:pPr>
            <w:r w:rsidRPr="002700C9">
              <w:rPr>
                <w:rFonts w:ascii="Calibri" w:eastAsia="Times New Roman" w:hAnsi="Calibri" w:cs="Calibri"/>
                <w:szCs w:val="24"/>
                <w:lang w:val="en-US"/>
              </w:rPr>
              <w:t>42 WDs</w:t>
            </w:r>
          </w:p>
        </w:tc>
        <w:tc>
          <w:tcPr>
            <w:tcW w:w="3240" w:type="dxa"/>
            <w:tcBorders>
              <w:top w:val="single" w:sz="3" w:space="0" w:color="000000"/>
              <w:left w:val="single" w:sz="3" w:space="0" w:color="000000"/>
              <w:bottom w:val="single" w:sz="3" w:space="0" w:color="000000"/>
              <w:right w:val="single" w:sz="3" w:space="0" w:color="000000"/>
            </w:tcBorders>
          </w:tcPr>
          <w:p w:rsidR="002700C9" w:rsidRPr="002700C9" w:rsidRDefault="002700C9" w:rsidP="002700C9">
            <w:pPr>
              <w:widowControl w:val="0"/>
              <w:spacing w:before="120" w:after="0" w:line="240" w:lineRule="auto"/>
              <w:ind w:left="360"/>
              <w:contextualSpacing/>
              <w:rPr>
                <w:rFonts w:eastAsia="Aptos" w:cstheme="minorHAnsi"/>
              </w:rPr>
            </w:pPr>
          </w:p>
        </w:tc>
      </w:tr>
    </w:tbl>
    <w:p w:rsidR="002700C9" w:rsidRPr="00B44380" w:rsidRDefault="002700C9" w:rsidP="00B44380">
      <w:pPr>
        <w:spacing w:after="120" w:line="240" w:lineRule="auto"/>
        <w:rPr>
          <w:rFonts w:ascii="Calibri" w:eastAsia="Times New Roman" w:hAnsi="Calibri" w:cs="Calibri"/>
          <w:szCs w:val="24"/>
          <w:highlight w:val="lightGray"/>
        </w:rPr>
      </w:pPr>
    </w:p>
    <w:p w:rsidR="001A64EA" w:rsidRPr="001A64EA" w:rsidRDefault="001A64EA" w:rsidP="001A64EA">
      <w:pPr>
        <w:spacing w:after="120" w:line="240" w:lineRule="auto"/>
        <w:jc w:val="both"/>
        <w:rPr>
          <w:rFonts w:ascii="Calibri" w:eastAsia="Times New Roman" w:hAnsi="Calibri" w:cs="Calibri"/>
          <w:szCs w:val="24"/>
        </w:rPr>
      </w:pPr>
    </w:p>
    <w:p w:rsidR="001A64EA" w:rsidRPr="00454930" w:rsidRDefault="001A64EA" w:rsidP="001A64EA">
      <w:pPr>
        <w:spacing w:after="120" w:line="240" w:lineRule="auto"/>
        <w:jc w:val="both"/>
        <w:outlineLvl w:val="0"/>
        <w:rPr>
          <w:rFonts w:ascii="Calibri" w:eastAsia="Times New Roman" w:hAnsi="Calibri" w:cs="Calibri"/>
          <w:bCs/>
          <w:iCs/>
          <w:szCs w:val="24"/>
          <w:highlight w:val="lightGray"/>
        </w:rPr>
      </w:pPr>
    </w:p>
    <w:p w:rsidR="001A64EA" w:rsidRPr="00B44380" w:rsidRDefault="001A64EA" w:rsidP="001A64EA">
      <w:pPr>
        <w:spacing w:after="120" w:line="240" w:lineRule="auto"/>
        <w:jc w:val="both"/>
        <w:outlineLvl w:val="0"/>
        <w:rPr>
          <w:rFonts w:ascii="Calibri" w:eastAsia="Times New Roman" w:hAnsi="Calibri" w:cs="Calibri"/>
          <w:b/>
          <w:i/>
          <w:color w:val="FF6600"/>
          <w:szCs w:val="24"/>
        </w:rPr>
      </w:pPr>
      <w:r w:rsidRPr="00B44380">
        <w:rPr>
          <w:rFonts w:ascii="Calibri" w:eastAsia="Times New Roman" w:hAnsi="Calibri" w:cs="Calibri"/>
          <w:b/>
          <w:i/>
          <w:color w:val="FF6600"/>
          <w:szCs w:val="24"/>
        </w:rPr>
        <w:t>Qualifications Required:</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2700C9" w:rsidRPr="002700C9" w:rsidTr="00476F54">
        <w:trPr>
          <w:trHeight w:val="416"/>
        </w:trPr>
        <w:tc>
          <w:tcPr>
            <w:tcW w:w="9498" w:type="dxa"/>
          </w:tcPr>
          <w:p w:rsidR="002700C9" w:rsidRPr="002700C9" w:rsidRDefault="002700C9" w:rsidP="002700C9">
            <w:pPr>
              <w:tabs>
                <w:tab w:val="left" w:pos="360"/>
              </w:tabs>
              <w:spacing w:after="120" w:line="240" w:lineRule="auto"/>
              <w:ind w:right="900"/>
              <w:rPr>
                <w:rFonts w:ascii="Calibri" w:eastAsia="Times New Roman" w:hAnsi="Calibri" w:cs="Calibri"/>
                <w:i/>
                <w:u w:val="single"/>
              </w:rPr>
            </w:pPr>
            <w:r w:rsidRPr="002700C9">
              <w:rPr>
                <w:rFonts w:ascii="Calibri" w:eastAsia="Times New Roman" w:hAnsi="Calibri" w:cs="Calibri"/>
                <w:i/>
                <w:u w:val="single"/>
              </w:rPr>
              <w:t>Qualifications and skills:</w:t>
            </w:r>
          </w:p>
          <w:p w:rsidR="002700C9" w:rsidRPr="002700C9" w:rsidRDefault="002700C9" w:rsidP="002700C9">
            <w:pPr>
              <w:numPr>
                <w:ilvl w:val="0"/>
                <w:numId w:val="2"/>
              </w:numPr>
              <w:spacing w:after="0" w:line="240" w:lineRule="auto"/>
              <w:rPr>
                <w:rFonts w:ascii="Calibri" w:eastAsia="Times New Roman" w:hAnsi="Calibri" w:cs="Calibri"/>
              </w:rPr>
            </w:pPr>
            <w:r w:rsidRPr="002700C9">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2700C9" w:rsidRPr="002700C9" w:rsidRDefault="002700C9" w:rsidP="002700C9">
            <w:pPr>
              <w:numPr>
                <w:ilvl w:val="0"/>
                <w:numId w:val="2"/>
              </w:numPr>
              <w:tabs>
                <w:tab w:val="left" w:pos="360"/>
              </w:tabs>
              <w:spacing w:after="120" w:line="240" w:lineRule="auto"/>
              <w:ind w:left="714" w:right="902" w:hanging="357"/>
              <w:rPr>
                <w:rFonts w:ascii="Calibri" w:eastAsia="Times New Roman" w:hAnsi="Calibri" w:cs="Calibri"/>
                <w:u w:val="single"/>
              </w:rPr>
            </w:pPr>
            <w:r w:rsidRPr="002700C9">
              <w:rPr>
                <w:rFonts w:ascii="Calibri" w:eastAsia="Times New Roman" w:hAnsi="Calibri" w:cs="Calibri"/>
                <w:lang w:val="en-US"/>
              </w:rPr>
              <w:t>Proficiency in written and spoken English</w:t>
            </w:r>
          </w:p>
          <w:p w:rsidR="002700C9" w:rsidRPr="002700C9" w:rsidRDefault="002700C9" w:rsidP="002700C9">
            <w:pPr>
              <w:numPr>
                <w:ilvl w:val="0"/>
                <w:numId w:val="2"/>
              </w:numPr>
              <w:tabs>
                <w:tab w:val="left" w:pos="360"/>
              </w:tabs>
              <w:spacing w:after="120" w:line="240" w:lineRule="auto"/>
              <w:ind w:left="714" w:right="902" w:hanging="357"/>
              <w:rPr>
                <w:rFonts w:ascii="Calibri" w:eastAsia="Times New Roman" w:hAnsi="Calibri" w:cs="Calibri"/>
                <w:u w:val="single"/>
              </w:rPr>
            </w:pPr>
            <w:r w:rsidRPr="002700C9">
              <w:rPr>
                <w:rFonts w:ascii="Calibri" w:eastAsia="Times New Roman" w:hAnsi="Calibri" w:cs="Calibri"/>
              </w:rPr>
              <w:t xml:space="preserve">Have excellent oral and written communication and analytical skills </w:t>
            </w:r>
          </w:p>
          <w:p w:rsidR="002700C9" w:rsidRPr="002700C9" w:rsidRDefault="002700C9" w:rsidP="002700C9">
            <w:pPr>
              <w:numPr>
                <w:ilvl w:val="0"/>
                <w:numId w:val="2"/>
              </w:numPr>
              <w:tabs>
                <w:tab w:val="left" w:pos="360"/>
              </w:tabs>
              <w:spacing w:after="120" w:line="240" w:lineRule="auto"/>
              <w:ind w:left="714" w:right="902" w:hanging="357"/>
              <w:rPr>
                <w:rFonts w:ascii="Calibri" w:eastAsia="Times New Roman" w:hAnsi="Calibri" w:cs="Calibri"/>
                <w:u w:val="single"/>
              </w:rPr>
            </w:pPr>
            <w:r w:rsidRPr="002700C9">
              <w:rPr>
                <w:rFonts w:ascii="Calibri" w:eastAsia="Times New Roman" w:hAnsi="Calibri" w:cs="Calibri"/>
              </w:rPr>
              <w:t xml:space="preserve">Have excellent team working abilities </w:t>
            </w:r>
          </w:p>
          <w:p w:rsidR="002700C9" w:rsidRPr="002700C9" w:rsidRDefault="002700C9" w:rsidP="002700C9">
            <w:pPr>
              <w:numPr>
                <w:ilvl w:val="0"/>
                <w:numId w:val="2"/>
              </w:numPr>
              <w:tabs>
                <w:tab w:val="left" w:pos="360"/>
              </w:tabs>
              <w:spacing w:after="120" w:line="240" w:lineRule="auto"/>
              <w:ind w:left="714" w:right="902" w:hanging="357"/>
              <w:rPr>
                <w:rFonts w:ascii="Calibri" w:eastAsia="Times New Roman" w:hAnsi="Calibri" w:cs="Calibri"/>
              </w:rPr>
            </w:pPr>
            <w:r w:rsidRPr="002700C9">
              <w:rPr>
                <w:rFonts w:ascii="Calibri" w:eastAsia="Times New Roman" w:hAnsi="Calibri" w:cs="Calibri"/>
              </w:rPr>
              <w:t>Strong communication and presentation skills and the ability to transfer his/her knowledge effectively</w:t>
            </w:r>
          </w:p>
          <w:p w:rsidR="002700C9" w:rsidRPr="002700C9" w:rsidRDefault="002700C9" w:rsidP="002700C9">
            <w:pPr>
              <w:numPr>
                <w:ilvl w:val="0"/>
                <w:numId w:val="2"/>
              </w:numPr>
              <w:spacing w:after="0" w:line="240" w:lineRule="auto"/>
              <w:rPr>
                <w:rFonts w:ascii="Calibri" w:eastAsia="Times New Roman" w:hAnsi="Calibri" w:cs="Calibri"/>
              </w:rPr>
            </w:pPr>
            <w:r w:rsidRPr="002700C9">
              <w:rPr>
                <w:rFonts w:ascii="Calibri" w:eastAsia="Times New Roman" w:hAnsi="Calibri" w:cs="Calibri"/>
              </w:rPr>
              <w:t>Higher degree (masters, etc.) will be considered an advantage</w:t>
            </w:r>
          </w:p>
          <w:p w:rsidR="002700C9" w:rsidRPr="002700C9" w:rsidRDefault="002700C9" w:rsidP="002700C9">
            <w:pPr>
              <w:numPr>
                <w:ilvl w:val="0"/>
                <w:numId w:val="2"/>
              </w:numPr>
              <w:tabs>
                <w:tab w:val="left" w:pos="360"/>
              </w:tabs>
              <w:spacing w:after="0" w:line="240" w:lineRule="auto"/>
              <w:ind w:right="902"/>
              <w:rPr>
                <w:rFonts w:ascii="Calibri" w:eastAsia="Times New Roman" w:hAnsi="Calibri" w:cs="Calibri"/>
                <w:i/>
                <w:u w:val="single"/>
              </w:rPr>
            </w:pPr>
            <w:r w:rsidRPr="002700C9">
              <w:rPr>
                <w:rFonts w:ascii="Calibri" w:eastAsia="Times New Roman" w:hAnsi="Calibri" w:cs="Calibri"/>
                <w:lang w:val="en-US"/>
              </w:rPr>
              <w:t>Knowledge of Serbian language (or other local languages- Bosnian, Croatian, Montenegrin) will be considered as an advantage</w:t>
            </w:r>
            <w:r w:rsidRPr="002700C9">
              <w:rPr>
                <w:rFonts w:ascii="Calibri" w:eastAsia="Times New Roman" w:hAnsi="Calibri" w:cs="Calibri"/>
                <w:i/>
                <w:u w:val="single"/>
              </w:rPr>
              <w:t xml:space="preserve"> </w:t>
            </w:r>
          </w:p>
        </w:tc>
      </w:tr>
      <w:tr w:rsidR="002700C9" w:rsidRPr="002700C9" w:rsidTr="00476F54">
        <w:trPr>
          <w:trHeight w:val="568"/>
        </w:trPr>
        <w:tc>
          <w:tcPr>
            <w:tcW w:w="9498" w:type="dxa"/>
          </w:tcPr>
          <w:p w:rsidR="002700C9" w:rsidRPr="002700C9" w:rsidRDefault="002700C9" w:rsidP="002700C9">
            <w:pPr>
              <w:tabs>
                <w:tab w:val="left" w:pos="360"/>
              </w:tabs>
              <w:spacing w:after="120" w:line="240" w:lineRule="auto"/>
              <w:ind w:right="900"/>
              <w:rPr>
                <w:rFonts w:ascii="Calibri" w:eastAsia="Times New Roman" w:hAnsi="Calibri" w:cs="Calibri"/>
                <w:i/>
                <w:u w:val="single"/>
              </w:rPr>
            </w:pPr>
            <w:r w:rsidRPr="002700C9">
              <w:rPr>
                <w:rFonts w:ascii="Calibri" w:eastAsia="Times New Roman" w:hAnsi="Calibri" w:cs="Calibri"/>
                <w:i/>
                <w:u w:val="single"/>
              </w:rPr>
              <w:t>General Professional Experience:</w:t>
            </w:r>
          </w:p>
          <w:p w:rsidR="002700C9" w:rsidRPr="002700C9" w:rsidRDefault="002700C9" w:rsidP="002700C9">
            <w:pPr>
              <w:numPr>
                <w:ilvl w:val="0"/>
                <w:numId w:val="2"/>
              </w:numPr>
              <w:spacing w:after="0" w:line="240" w:lineRule="auto"/>
              <w:rPr>
                <w:rFonts w:ascii="Calibri" w:eastAsia="Times New Roman" w:hAnsi="Calibri" w:cs="Calibri"/>
              </w:rPr>
            </w:pPr>
            <w:r w:rsidRPr="002700C9">
              <w:rPr>
                <w:rFonts w:ascii="Calibri" w:eastAsia="Calibri" w:hAnsi="Calibri" w:cs="Calibri"/>
              </w:rPr>
              <w:t>Six (6) years of proven professional experience in</w:t>
            </w:r>
            <w:r w:rsidRPr="002700C9" w:rsidDel="00C11A41">
              <w:rPr>
                <w:rFonts w:ascii="Calibri" w:eastAsia="Calibri" w:hAnsi="Calibri" w:cs="Calibri"/>
              </w:rPr>
              <w:t xml:space="preserve"> </w:t>
            </w:r>
            <w:r w:rsidRPr="002700C9">
              <w:rPr>
                <w:rFonts w:ascii="Calibri" w:eastAsia="Calibri" w:hAnsi="Calibri" w:cs="Calibri"/>
              </w:rPr>
              <w:t xml:space="preserve">the </w:t>
            </w:r>
            <w:r w:rsidRPr="002700C9">
              <w:rPr>
                <w:rFonts w:ascii="Calibri" w:eastAsia="Times New Roman" w:hAnsi="Calibri" w:cs="Calibri"/>
              </w:rPr>
              <w:t xml:space="preserve">education sector or other relevant field. </w:t>
            </w:r>
          </w:p>
        </w:tc>
      </w:tr>
      <w:tr w:rsidR="002700C9" w:rsidRPr="002700C9" w:rsidTr="00476F54">
        <w:trPr>
          <w:trHeight w:val="834"/>
        </w:trPr>
        <w:tc>
          <w:tcPr>
            <w:tcW w:w="9498" w:type="dxa"/>
          </w:tcPr>
          <w:p w:rsidR="002700C9" w:rsidRPr="002700C9" w:rsidRDefault="002700C9" w:rsidP="002700C9">
            <w:pPr>
              <w:tabs>
                <w:tab w:val="left" w:pos="360"/>
              </w:tabs>
              <w:spacing w:after="120" w:line="240" w:lineRule="auto"/>
              <w:ind w:right="900"/>
              <w:rPr>
                <w:rFonts w:ascii="Calibri" w:eastAsia="Times New Roman" w:hAnsi="Calibri" w:cs="Calibri"/>
                <w:i/>
                <w:u w:val="single"/>
              </w:rPr>
            </w:pPr>
            <w:r w:rsidRPr="002700C9">
              <w:rPr>
                <w:rFonts w:ascii="Calibri" w:eastAsia="Times New Roman" w:hAnsi="Calibri" w:cs="Calibri"/>
                <w:i/>
                <w:u w:val="single"/>
              </w:rPr>
              <w:t>Specific Professional Experience:</w:t>
            </w:r>
          </w:p>
          <w:p w:rsidR="002700C9" w:rsidRPr="002700C9" w:rsidRDefault="002700C9" w:rsidP="002700C9">
            <w:pPr>
              <w:tabs>
                <w:tab w:val="left" w:pos="360"/>
              </w:tabs>
              <w:spacing w:after="0" w:line="256" w:lineRule="auto"/>
              <w:ind w:left="720" w:right="902"/>
              <w:contextualSpacing/>
              <w:jc w:val="both"/>
              <w:rPr>
                <w:rFonts w:ascii="Calibri" w:eastAsia="Times New Roman" w:hAnsi="Calibri" w:cs="Calibri"/>
                <w:bCs/>
                <w:lang w:val="en-US"/>
              </w:rPr>
            </w:pPr>
            <w:r w:rsidRPr="002700C9">
              <w:rPr>
                <w:rFonts w:ascii="Calibri" w:eastAsia="Times New Roman" w:hAnsi="Calibri" w:cs="Calibri"/>
                <w:bCs/>
                <w:lang w:val="en-US"/>
              </w:rPr>
              <w:t>Minimum three (3), preferably five (5) years of experience in:</w:t>
            </w:r>
          </w:p>
          <w:p w:rsidR="002700C9" w:rsidRPr="002700C9" w:rsidRDefault="002700C9" w:rsidP="002700C9">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2700C9">
              <w:rPr>
                <w:rFonts w:ascii="Calibri" w:eastAsia="Times New Roman" w:hAnsi="Calibri" w:cs="Calibri"/>
                <w:bCs/>
                <w:lang w:val="en-US"/>
              </w:rPr>
              <w:t>Proven experience in project management, planning, and reporting within the education sector or a related field.</w:t>
            </w:r>
          </w:p>
          <w:p w:rsidR="002700C9" w:rsidRPr="002700C9" w:rsidRDefault="002700C9" w:rsidP="002700C9">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2700C9">
              <w:rPr>
                <w:rFonts w:ascii="Calibri" w:eastAsia="Times New Roman" w:hAnsi="Calibri" w:cs="Calibri"/>
                <w:bCs/>
                <w:lang w:val="en-US"/>
              </w:rPr>
              <w:t>Demonstrated ability to coordinate and organize consultative meetings and capacity-building events involving diverse stakeholders.</w:t>
            </w:r>
          </w:p>
          <w:p w:rsidR="002700C9" w:rsidRPr="002700C9" w:rsidRDefault="002700C9" w:rsidP="002700C9">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2700C9">
              <w:rPr>
                <w:rFonts w:ascii="Calibri" w:eastAsia="Times New Roman" w:hAnsi="Calibri" w:cs="Calibri"/>
                <w:bCs/>
                <w:lang w:val="en-US"/>
              </w:rPr>
              <w:t xml:space="preserve">Familiarity with education policies, particularly those related to the right to education and the challenges faced by vulnerable groups, </w:t>
            </w:r>
            <w:r w:rsidRPr="002700C9">
              <w:rPr>
                <w:rFonts w:ascii="Calibri" w:eastAsia="Times New Roman" w:hAnsi="Calibri" w:cs="Calibri"/>
                <w:bCs/>
              </w:rPr>
              <w:t>particularly Roma population</w:t>
            </w:r>
            <w:r w:rsidRPr="002700C9">
              <w:rPr>
                <w:rFonts w:ascii="Calibri" w:eastAsia="Times New Roman" w:hAnsi="Calibri" w:cs="Calibri"/>
                <w:bCs/>
                <w:lang w:val="en-US"/>
              </w:rPr>
              <w:t>.</w:t>
            </w:r>
          </w:p>
          <w:p w:rsidR="002700C9" w:rsidRPr="002700C9" w:rsidRDefault="002700C9" w:rsidP="002700C9">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2700C9">
              <w:rPr>
                <w:rFonts w:ascii="Calibri" w:eastAsia="Times New Roman" w:hAnsi="Calibri" w:cs="Calibri"/>
                <w:bCs/>
                <w:lang w:val="en-US"/>
              </w:rPr>
              <w:t>A successful track record of engaging with education stakeholders will be considered an advantage.</w:t>
            </w:r>
          </w:p>
          <w:p w:rsidR="002700C9" w:rsidRPr="002700C9" w:rsidRDefault="002700C9" w:rsidP="002700C9">
            <w:pPr>
              <w:tabs>
                <w:tab w:val="left" w:pos="360"/>
              </w:tabs>
              <w:spacing w:after="0" w:line="256" w:lineRule="auto"/>
              <w:ind w:left="720" w:right="902"/>
              <w:contextualSpacing/>
              <w:jc w:val="both"/>
              <w:rPr>
                <w:rFonts w:ascii="Times New Roman" w:eastAsia="Times New Roman" w:hAnsi="Times New Roman" w:cs="Times New Roman"/>
                <w:sz w:val="24"/>
                <w:szCs w:val="24"/>
              </w:rPr>
            </w:pPr>
          </w:p>
        </w:tc>
      </w:tr>
    </w:tbl>
    <w:p w:rsidR="00225984" w:rsidRPr="00CF7850" w:rsidRDefault="00225984" w:rsidP="001A64EA">
      <w:pPr>
        <w:spacing w:after="120" w:line="240" w:lineRule="auto"/>
        <w:jc w:val="both"/>
        <w:rPr>
          <w:rFonts w:ascii="Calibri" w:eastAsia="Times New Roman" w:hAnsi="Calibri" w:cs="Calibri"/>
          <w:b/>
          <w:szCs w:val="24"/>
        </w:rPr>
      </w:pPr>
    </w:p>
    <w:p w:rsidR="00F97BC7" w:rsidRDefault="00F97BC7"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 xml:space="preserve">The activities are planned to be carried out </w:t>
      </w:r>
      <w:r w:rsidRPr="00CF7850">
        <w:rPr>
          <w:rFonts w:ascii="Calibri" w:eastAsia="Times New Roman" w:hAnsi="Calibri" w:cs="Calibri"/>
          <w:i/>
          <w:iCs/>
          <w:szCs w:val="24"/>
        </w:rPr>
        <w:t>in the period of</w:t>
      </w:r>
      <w:r w:rsidR="0047135C">
        <w:rPr>
          <w:rFonts w:ascii="Calibri" w:eastAsia="Times New Roman" w:hAnsi="Calibri" w:cs="Calibri"/>
          <w:b/>
          <w:i/>
          <w:iCs/>
          <w:szCs w:val="24"/>
        </w:rPr>
        <w:t xml:space="preserve"> </w:t>
      </w:r>
      <w:r w:rsidR="002700C9" w:rsidRPr="002700C9">
        <w:rPr>
          <w:rFonts w:ascii="Calibri" w:eastAsia="Times New Roman" w:hAnsi="Calibri" w:cs="Calibri"/>
          <w:b/>
          <w:i/>
          <w:iCs/>
          <w:szCs w:val="24"/>
        </w:rPr>
        <w:t>August 2025 until June 2026.</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2700C9">
        <w:rPr>
          <w:rFonts w:ascii="Calibri" w:eastAsia="Times New Roman" w:hAnsi="Calibri" w:cs="Calibri"/>
          <w:b/>
          <w:szCs w:val="24"/>
        </w:rPr>
        <w:t>42</w:t>
      </w:r>
      <w:r w:rsidR="00F45094">
        <w:rPr>
          <w:rFonts w:ascii="Calibri" w:eastAsia="Times New Roman" w:hAnsi="Calibri" w:cs="Calibri"/>
          <w:b/>
          <w:szCs w:val="24"/>
        </w:rPr>
        <w:t>.</w:t>
      </w:r>
    </w:p>
    <w:p w:rsidR="00225984" w:rsidRPr="006F7639" w:rsidRDefault="00225984" w:rsidP="00225984">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225984" w:rsidRPr="006F7639" w:rsidRDefault="00225984" w:rsidP="00225984">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2700C9" w:rsidP="00F97BC7">
      <w:pPr>
        <w:spacing w:after="120" w:line="240" w:lineRule="auto"/>
        <w:rPr>
          <w:rFonts w:ascii="Calibri" w:eastAsia="Calibri" w:hAnsi="Calibri" w:cs="Calibri"/>
          <w:b/>
          <w:bCs/>
        </w:rPr>
      </w:pPr>
      <w:r>
        <w:rPr>
          <w:rFonts w:ascii="Calibri" w:eastAsia="Calibri" w:hAnsi="Calibri" w:cs="Calibri"/>
          <w:b/>
          <w:bCs/>
          <w:highlight w:val="yellow"/>
        </w:rPr>
        <w:t>8 August</w:t>
      </w:r>
      <w:bookmarkStart w:id="0" w:name="_GoBack"/>
      <w:bookmarkEnd w:id="0"/>
      <w:r w:rsidR="00DE7A07">
        <w:rPr>
          <w:rFonts w:ascii="Calibri" w:eastAsia="Calibri" w:hAnsi="Calibri" w:cs="Calibri"/>
          <w:b/>
          <w:bCs/>
          <w:highlight w:val="yellow"/>
        </w:rPr>
        <w:t xml:space="preserve"> </w:t>
      </w:r>
      <w:r w:rsidR="00225984" w:rsidRPr="006F7639">
        <w:rPr>
          <w:rFonts w:ascii="Calibri" w:eastAsia="Calibri" w:hAnsi="Calibri" w:cs="Calibri"/>
          <w:b/>
          <w:bCs/>
          <w:highlight w:val="yellow"/>
        </w:rPr>
        <w:t>2025, 17:00</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225984">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Pr>
          <w:rFonts w:ascii="Calibri" w:eastAsia="Calibri" w:hAnsi="Calibri" w:cs="Calibri"/>
          <w:bCs/>
          <w:color w:val="0563C1"/>
          <w:u w:val="single"/>
        </w:rPr>
        <w:t>; bojana.boskovic@weglobal.org</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All applications will be considered strictly confidential.</w:t>
      </w:r>
    </w:p>
    <w:p w:rsidR="00225984" w:rsidRPr="00CF7850" w:rsidRDefault="00225984" w:rsidP="00F45094">
      <w:pPr>
        <w:spacing w:after="120" w:line="240" w:lineRule="auto"/>
        <w:rPr>
          <w:rFonts w:ascii="Calibri" w:eastAsia="Times New Roman" w:hAnsi="Calibri" w:cs="Times New Roman"/>
          <w:szCs w:val="24"/>
          <w:lang w:val="en-U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4D04FC" w:rsidRDefault="004D04FC"/>
    <w:sectPr w:rsidR="004D04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F3" w:rsidRDefault="00993BF3" w:rsidP="009A468F">
      <w:pPr>
        <w:spacing w:after="0" w:line="240" w:lineRule="auto"/>
      </w:pPr>
      <w:r>
        <w:separator/>
      </w:r>
    </w:p>
  </w:endnote>
  <w:endnote w:type="continuationSeparator" w:id="0">
    <w:p w:rsidR="00993BF3" w:rsidRDefault="00993BF3"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altName w:val="Bahnschrift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F3" w:rsidRDefault="00993BF3" w:rsidP="009A468F">
      <w:pPr>
        <w:spacing w:after="0" w:line="240" w:lineRule="auto"/>
      </w:pPr>
      <w:r>
        <w:separator/>
      </w:r>
    </w:p>
  </w:footnote>
  <w:footnote w:type="continuationSeparator" w:id="0">
    <w:p w:rsidR="00993BF3" w:rsidRDefault="00993BF3"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7C4"/>
    <w:multiLevelType w:val="hybridMultilevel"/>
    <w:tmpl w:val="9C4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E9"/>
    <w:multiLevelType w:val="hybridMultilevel"/>
    <w:tmpl w:val="EBD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D1810"/>
    <w:multiLevelType w:val="hybridMultilevel"/>
    <w:tmpl w:val="A0AC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D0315"/>
    <w:multiLevelType w:val="hybridMultilevel"/>
    <w:tmpl w:val="D410E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92BA3"/>
    <w:multiLevelType w:val="hybridMultilevel"/>
    <w:tmpl w:val="B4A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029F"/>
    <w:multiLevelType w:val="hybridMultilevel"/>
    <w:tmpl w:val="826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6123F"/>
    <w:multiLevelType w:val="hybridMultilevel"/>
    <w:tmpl w:val="25CC67D0"/>
    <w:lvl w:ilvl="0" w:tplc="F81037EE">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640D86"/>
    <w:multiLevelType w:val="hybridMultilevel"/>
    <w:tmpl w:val="104EC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16"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E01FF"/>
    <w:multiLevelType w:val="hybridMultilevel"/>
    <w:tmpl w:val="657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71F82"/>
    <w:multiLevelType w:val="hybridMultilevel"/>
    <w:tmpl w:val="DE84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64557"/>
    <w:multiLevelType w:val="hybridMultilevel"/>
    <w:tmpl w:val="AD1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9"/>
  </w:num>
  <w:num w:numId="4">
    <w:abstractNumId w:val="9"/>
  </w:num>
  <w:num w:numId="5">
    <w:abstractNumId w:val="1"/>
  </w:num>
  <w:num w:numId="6">
    <w:abstractNumId w:val="16"/>
  </w:num>
  <w:num w:numId="7">
    <w:abstractNumId w:val="10"/>
  </w:num>
  <w:num w:numId="8">
    <w:abstractNumId w:val="8"/>
  </w:num>
  <w:num w:numId="9">
    <w:abstractNumId w:val="12"/>
  </w:num>
  <w:num w:numId="10">
    <w:abstractNumId w:val="7"/>
  </w:num>
  <w:num w:numId="11">
    <w:abstractNumId w:val="20"/>
  </w:num>
  <w:num w:numId="12">
    <w:abstractNumId w:val="17"/>
  </w:num>
  <w:num w:numId="13">
    <w:abstractNumId w:val="22"/>
  </w:num>
  <w:num w:numId="14">
    <w:abstractNumId w:val="21"/>
  </w:num>
  <w:num w:numId="15">
    <w:abstractNumId w:val="11"/>
  </w:num>
  <w:num w:numId="16">
    <w:abstractNumId w:val="18"/>
  </w:num>
  <w:num w:numId="17">
    <w:abstractNumId w:val="2"/>
  </w:num>
  <w:num w:numId="18">
    <w:abstractNumId w:val="3"/>
  </w:num>
  <w:num w:numId="19">
    <w:abstractNumId w:val="15"/>
  </w:num>
  <w:num w:numId="20">
    <w:abstractNumId w:val="14"/>
  </w:num>
  <w:num w:numId="21">
    <w:abstractNumId w:val="13"/>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05644A"/>
    <w:rsid w:val="00127C88"/>
    <w:rsid w:val="0015407B"/>
    <w:rsid w:val="001A64EA"/>
    <w:rsid w:val="001C4C08"/>
    <w:rsid w:val="00225984"/>
    <w:rsid w:val="002700C9"/>
    <w:rsid w:val="002B3C73"/>
    <w:rsid w:val="002C006D"/>
    <w:rsid w:val="0047135C"/>
    <w:rsid w:val="004D04FC"/>
    <w:rsid w:val="00532387"/>
    <w:rsid w:val="006508E6"/>
    <w:rsid w:val="00993BF3"/>
    <w:rsid w:val="009A468F"/>
    <w:rsid w:val="00A0627A"/>
    <w:rsid w:val="00B44380"/>
    <w:rsid w:val="00B955F8"/>
    <w:rsid w:val="00D14908"/>
    <w:rsid w:val="00DD0733"/>
    <w:rsid w:val="00DE7A07"/>
    <w:rsid w:val="00F45094"/>
    <w:rsid w:val="00F62DA5"/>
    <w:rsid w:val="00F9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3D4AD"/>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1A64E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1A64EA"/>
    <w:rPr>
      <w:rFonts w:ascii="Arial" w:eastAsia="Times New Roman" w:hAnsi="Arial" w:cs="Times New Roman"/>
      <w:sz w:val="20"/>
      <w:szCs w:val="20"/>
      <w:lang w:val="en-GB" w:eastAsia="nl-NL"/>
    </w:r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1A64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14</cp:revision>
  <dcterms:created xsi:type="dcterms:W3CDTF">2025-02-27T14:43:00Z</dcterms:created>
  <dcterms:modified xsi:type="dcterms:W3CDTF">2025-07-30T13:40:00Z</dcterms:modified>
</cp:coreProperties>
</file>